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Bahrain: Your Complete Career Guide to the Gulf's Most Streamlined Gateway</w:t>
      </w:r>
    </w:p>
    <w:p>
      <w:pPr>
        <w:jc w:val="center"/>
      </w:pPr>
      <w:r>
        <w:rPr>
          <w:i/>
          <w:color w:val="666666"/>
          <w:sz w:val="26"/>
        </w:rPr>
        <w:t>NHRA Licensing, the Mehan Portal, DataFlow Verification &amp; Tax-Free Consultant Packages</w:t>
      </w:r>
    </w:p>
    <w:p>
      <w:pPr>
        <w:jc w:val="center"/>
      </w:pPr>
      <w:r>
        <w:rPr>
          <w:i/>
          <w:color w:val="969696"/>
          <w:sz w:val="20"/>
        </w:rPr>
        <w:t>Last Updated: July 31, 2026</w:t>
      </w:r>
    </w:p>
    <w:p/>
    <w:p>
      <w:pPr>
        <w:pStyle w:val="Heading1"/>
      </w:pPr>
      <w:r>
        <w:t>Small Country, Streamlined System, Strategic Location</w:t>
      </w:r>
    </w:p>
    <w:p>
      <w:pPr>
        <w:spacing w:after="240"/>
      </w:pPr>
      <w:r>
        <w:t>Bahrain occupies a distinctive position among Gulf destinations: connected to Saudi Arabia by the King Fahd Causeway, it functions for many healthcare professionals as a genuine gateway to the wider region rather than a single-market destination. Its regulator, the National Health Regulatory Authority, is widely regarded as running one of the more streamlined licensing processes in the GCC — a meaningful contrast to some of its stricter neighbours.</w:t>
      </w:r>
    </w:p>
    <w:p>
      <w:pPr>
        <w:spacing w:after="240"/>
      </w:pPr>
      <w:r>
        <w:t>For pathologists specifically, Bahrain offers tax-free compensation, a single unified regulator rather than the multi-authority structures seen in the UAE, and — notably — a genuine mechanism for transferring prior GCC licensing work between authorities, meaningfully shortening the path for anyone already credentialed elsewhere in the region.</w:t>
      </w:r>
    </w:p>
    <w:p>
      <w:pPr>
        <w:pStyle w:val="Heading2"/>
      </w:pPr>
      <w:r>
        <w:t>Why Choose Bahrain for Your Pathology Career?</w:t>
      </w:r>
    </w:p>
    <w:p>
      <w:pPr>
        <w:pStyle w:val="ListBullet"/>
        <w:spacing w:after="120"/>
      </w:pPr>
      <w:r>
        <w:rPr>
          <w:b/>
        </w:rPr>
        <w:t xml:space="preserve">A Single, Unified Regulator: </w:t>
      </w:r>
      <w:r>
        <w:t>Unlike the UAE's three-authority structure, NHRA is Bahrain's sole licensing body for every healthcare professional in the Kingdom, public and private sector alike — one process, one portal, one standard.</w:t>
      </w:r>
    </w:p>
    <w:p>
      <w:pPr>
        <w:pStyle w:val="ListBullet"/>
        <w:spacing w:after="120"/>
      </w:pPr>
      <w:r>
        <w:rPr>
          <w:b/>
        </w:rPr>
        <w:t xml:space="preserve">A Genuinely Streamlined Process: </w:t>
      </w:r>
      <w:r>
        <w:t>Industry consultants specifically describe Bahrain's NHRA process as among the GCC's most efficient — a realistic three-to-five-month total timeline for well-prepared applicants with transferable documentation.</w:t>
      </w:r>
    </w:p>
    <w:p>
      <w:pPr>
        <w:pStyle w:val="ListBullet"/>
        <w:spacing w:after="120"/>
      </w:pPr>
      <w:r>
        <w:rPr>
          <w:b/>
        </w:rPr>
        <w:t xml:space="preserve">DataFlow Reports Transfer Between GCC Authorities: </w:t>
      </w:r>
      <w:r>
        <w:t>If you hold a DataFlow primary source verification report from another GCC country's licensing process, it may be directly transferable to NHRA — avoiding the cost and delay of a full new verification. Only DataFlow reports qualify; other PSV providers are not eligible for transfer.</w:t>
      </w:r>
    </w:p>
    <w:p>
      <w:pPr>
        <w:pStyle w:val="ListBullet"/>
        <w:spacing w:after="120"/>
      </w:pPr>
      <w:r>
        <w:rPr>
          <w:b/>
        </w:rPr>
        <w:t xml:space="preserve">Broad Qualification Recognition: </w:t>
      </w:r>
      <w:r>
        <w:t>Bahrain's NHRA-recognised institution list is described as broad, covering most internationally accredited universities — a meaningfully lower bar than some stricter Gulf neighbours.</w:t>
      </w:r>
    </w:p>
    <w:p>
      <w:pPr>
        <w:pStyle w:val="ListBullet"/>
        <w:spacing w:after="120"/>
      </w:pPr>
      <w:r>
        <w:rPr>
          <w:b/>
        </w:rPr>
        <w:t xml:space="preserve">Strategic Access to Saudi Arabia: </w:t>
      </w:r>
      <w:r>
        <w:t>The King Fahd Causeway gives Bahrain-based professionals practical, everyday access to the much larger Saudi market — a genuine dual-market advantage worth factoring into a Gulf career plan.</w:t>
      </w:r>
    </w:p>
    <w:p>
      <w:pPr>
        <w:pStyle w:val="ListBullet"/>
        <w:spacing w:after="120"/>
      </w:pPr>
      <w:r>
        <w:rPr>
          <w:b/>
        </w:rPr>
        <w:t xml:space="preserve">Tax-Free Compensation With Local Cost Advantages: </w:t>
      </w:r>
      <w:r>
        <w:t>No personal income tax, with Bahrain frequently noted for lower living costs than Dubai, Abu Dhabi, Doha or Kuwait City — improving effective take-home value even where headline salaries appear modest by comparison.</w:t>
      </w:r>
    </w:p>
    <w:p/>
    <w:p>
      <w:pPr>
        <w:pStyle w:val="Heading2"/>
      </w:pPr>
      <w:r>
        <w:t>Understanding the National Health Regulatory Authority (NHRA)</w:t>
      </w:r>
    </w:p>
    <w:p>
      <w:pPr>
        <w:spacing w:after="160"/>
      </w:pPr>
      <w:r>
        <w:t>NHRA was established as an independent government body under Bahrain Law No. 38 of 2009, with its mandate covering the licensing and regulation of all healthcare professionals and facilities across both the public and private sectors. Every healthcare professional practising in Bahrain — Bahraini national or expatriate — must hold a valid NHRA licence. There are no exemptions based on employer type or contract structure, and practising without one, even temporarily or on a voluntary basis, is a regulatory violation.</w:t>
      </w:r>
    </w:p>
    <w:p>
      <w:pPr>
        <w:spacing w:after="240"/>
      </w:pPr>
      <w:r>
        <w:t>All licence applications — new applications, renewals, transfers, re-categorisation, part-time practice, and authorisation for surgical procedures — are submitted through NHRA's online Mehan portal (mehan.nhra.bh). This single-portal design is part of what makes the Bahraini process comparatively efficient.</w:t>
      </w:r>
    </w:p>
    <w:p>
      <w:pPr>
        <w:pStyle w:val="Heading2"/>
      </w:pPr>
      <w:r>
        <w:t>Your Step-by-Step Pathway to Practising Pathology in Bahrain</w:t>
      </w:r>
    </w:p>
    <w:p>
      <w:pPr>
        <w:pStyle w:val="Heading3"/>
      </w:pPr>
      <w:r>
        <w:t>Stage 1: Confirm Your Qualification and Experience Meet NHRA Standards</w:t>
      </w:r>
    </w:p>
    <w:p>
      <w:pPr>
        <w:spacing w:after="240"/>
      </w:pPr>
      <w:r>
        <w:t>Your degree must come from an NHRA-recognised institution — a broad list covering most internationally accredited universities. Documented post-qualification experience is required, with minimum thresholds varying by profession and specialty grade; specialist and consultant classifications typically require substantially more experience than entry-level roles. Official employer letters confirming role, dates and scope of practice are required for every position claimed.</w:t>
      </w:r>
    </w:p>
    <w:p>
      <w:pPr>
        <w:pStyle w:val="Heading3"/>
      </w:pPr>
      <w:r>
        <w:t>Stage 2: DataFlow Primary Source Verification</w:t>
      </w:r>
    </w:p>
    <w:p>
      <w:pPr>
        <w:spacing w:after="240"/>
      </w:pPr>
      <w:r>
        <w:t>DataFlow PSV is the standard verification mechanism, with a baseline timeline of 20 to 45 working days. If you already hold a DataFlow report from a prior GCC licensing application — say, from the UAE, Qatar or Saudi Arabia — this may be transferable to NHRA, avoiding a full repeat verification. Confirm transferability early, since it can meaningfully shorten your overall timeline; this advantage does not apply to reports from non-DataFlow verification providers.</w:t>
      </w:r>
    </w:p>
    <w:p>
      <w:pPr>
        <w:pStyle w:val="Heading3"/>
      </w:pPr>
      <w:r>
        <w:t>Stage 3: Document Attestation</w:t>
      </w:r>
    </w:p>
    <w:p>
      <w:pPr>
        <w:spacing w:after="240"/>
      </w:pPr>
      <w:r>
        <w:t>Academic certificates and professional documents must be attested through the correct chain: home country notarisation, home country Ministry of Foreign Affairs, Bahrain Embassy, and Bahrain's own Ministry of Foreign Affairs. A single error anywhere in this chain is a common and avoidable cause of application delay — verify the exact sequence for your country of qualification before submitting anything.</w:t>
      </w:r>
    </w:p>
    <w:p>
      <w:pPr>
        <w:pStyle w:val="Heading3"/>
      </w:pPr>
      <w:r>
        <w:t>Stage 4: Submit Your Application via Mehan</w:t>
      </w:r>
    </w:p>
    <w:p>
      <w:pPr>
        <w:spacing w:after="160"/>
      </w:pPr>
      <w:r>
        <w:t>All professionals must submit a complete application through the Mehan online system before being permitted to sit the licensure examination. Required documents typically include identification and passport copies, a Certificate of Good Standing from your home medical council or regulatory body (confirming no disciplinary record, and required to be recent — generally within six months), and evidence of English language proficiency (IELTS or TOEFL) where required for your role.</w:t>
      </w:r>
    </w:p>
    <w:p>
      <w:pPr>
        <w:spacing w:after="240"/>
      </w:pPr>
      <w:r>
        <w:t>Once your application is approved, NHRA generates a unique eligibility code, sent through the online system, which you use to register for the Prometric examination. This eligibility code is valid for a maximum of four months from issue — book your exam within that window.</w:t>
      </w:r>
    </w:p>
    <w:p>
      <w:pPr>
        <w:pStyle w:val="Heading3"/>
      </w:pPr>
      <w:r>
        <w:t>Stage 5: The NHRA Licensure Examination</w:t>
      </w:r>
    </w:p>
    <w:p>
      <w:pPr>
        <w:spacing w:after="240"/>
      </w:pPr>
      <w:r>
        <w:t>Delivered via Prometric, the exam is currently required for medical practitioners, dental practitioners, nurses and pharmacists. The passing score is set at 60% across all professions. Applicants have four attempts over three years to pass; if the fourth attempt is unsuccessful, six months of additional training must be completed before two further attempts become available over the following two years — a genuinely structured, if generous, retry framework.</w:t>
      </w:r>
    </w:p>
    <w:p>
      <w:pPr>
        <w:pStyle w:val="Heading3"/>
      </w:pPr>
      <w:r>
        <w:t>Stage 6: Licence Issuance and Renewal</w:t>
      </w:r>
    </w:p>
    <w:p>
      <w:pPr>
        <w:spacing w:after="240"/>
      </w:pPr>
      <w:r>
        <w:t>Following successful completion of all requirements, your NHRA licence is issued and activated for practice. Renewal applications must be submitted through Mehan two months before the licence expiry date — mark this date immediately upon receiving your licence, since NHRA is explicit that there is no grace period built into the online renewal process.</w:t>
      </w:r>
    </w:p>
    <w:p>
      <w:pPr>
        <w:pStyle w:val="Heading2"/>
      </w:pPr>
      <w:r>
        <w:t>Total Timeline</w:t>
      </w:r>
    </w:p>
    <w:p>
      <w:r>
        <w:rPr>
          <w:b/>
        </w:rPr>
        <w:t xml:space="preserve">Realistic total timeline for a well-prepared applicant: </w:t>
      </w:r>
      <w:r>
        <w:t>3 to 5 months, according to specialist Gulf licensing consultancies. Applicants with a transferable DataFlow report from a prior GCC application and straightforward documentation should expect the shorter end of that range — a genuinely faster process than Kuwait's typical 13–27 weeks.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(BHD, tax-free)</w:t>
            </w:r>
          </w:p>
        </w:tc>
      </w:tr>
      <w:tr>
        <w:tc>
          <w:tcPr>
            <w:tcW w:type="dxa" w:w="4680"/>
          </w:tcPr>
          <w:p>
            <w:r>
              <w:t>Doctor/Physician, general median (SalaryExplorer)</w:t>
            </w:r>
          </w:p>
        </w:tc>
        <w:tc>
          <w:tcPr>
            <w:tcW w:type="dxa" w:w="4680"/>
          </w:tcPr>
          <w:p>
            <w:r>
              <w:t>3,410/year</w:t>
            </w:r>
          </w:p>
        </w:tc>
      </w:tr>
      <w:tr>
        <w:tc>
          <w:tcPr>
            <w:tcW w:type="dxa" w:w="4680"/>
          </w:tcPr>
          <w:p>
            <w:r>
              <w:t>Doctor/Physician, typical range (SalaryExplorer)</w:t>
            </w:r>
          </w:p>
        </w:tc>
        <w:tc>
          <w:tcPr>
            <w:tcW w:type="dxa" w:w="4680"/>
          </w:tcPr>
          <w:p>
            <w:r>
              <w:t>1,280 – 5,860/year</w:t>
            </w:r>
          </w:p>
        </w:tc>
      </w:tr>
      <w:tr>
        <w:tc>
          <w:tcPr>
            <w:tcW w:type="dxa" w:w="4680"/>
          </w:tcPr>
          <w:p>
            <w:r>
              <w:t>Doctor/Physician, 25th–75th percentile</w:t>
            </w:r>
          </w:p>
        </w:tc>
        <w:tc>
          <w:tcPr>
            <w:tcW w:type="dxa" w:w="4680"/>
          </w:tcPr>
          <w:p>
            <w:r>
              <w:t>2,390 – 3,650/year</w:t>
            </w:r>
          </w:p>
        </w:tc>
      </w:tr>
      <w:tr>
        <w:tc>
          <w:tcPr>
            <w:tcW w:type="dxa" w:w="4680"/>
          </w:tcPr>
          <w:p>
            <w:r>
              <w:t>Forensic pathologist, national average (worldsalaries)</w:t>
            </w:r>
          </w:p>
        </w:tc>
        <w:tc>
          <w:tcPr>
            <w:tcW w:type="dxa" w:w="4680"/>
          </w:tcPr>
          <w:p>
            <w:r>
              <w:t>48,300/year</w:t>
            </w:r>
          </w:p>
        </w:tc>
      </w:tr>
      <w:tr>
        <w:tc>
          <w:tcPr>
            <w:tcW w:type="dxa" w:w="4680"/>
          </w:tcPr>
          <w:p>
            <w:r>
              <w:t>Forensic pathologist, typical range</w:t>
            </w:r>
          </w:p>
        </w:tc>
        <w:tc>
          <w:tcPr>
            <w:tcW w:type="dxa" w:w="4680"/>
          </w:tcPr>
          <w:p>
            <w:r>
              <w:t>25,940 – 75,100/year</w:t>
            </w:r>
          </w:p>
        </w:tc>
      </w:tr>
      <w:tr>
        <w:tc>
          <w:tcPr>
            <w:tcW w:type="dxa" w:w="4680"/>
          </w:tcPr>
          <w:p>
            <w:r>
              <w:t>Forensic pathologist, median</w:t>
            </w:r>
          </w:p>
        </w:tc>
        <w:tc>
          <w:tcPr>
            <w:tcW w:type="dxa" w:w="4680"/>
          </w:tcPr>
          <w:p>
            <w:r>
              <w:t>48,640/year</w:t>
            </w:r>
          </w:p>
        </w:tc>
      </w:tr>
      <w:tr>
        <w:tc>
          <w:tcPr>
            <w:tcW w:type="dxa" w:w="4680"/>
          </w:tcPr>
          <w:p>
            <w:r>
              <w:t>Advertised consultant pathologist role (private hospital)</w:t>
            </w:r>
          </w:p>
        </w:tc>
        <w:tc>
          <w:tcPr>
            <w:tcW w:type="dxa" w:w="4680"/>
          </w:tcPr>
          <w:p>
            <w:r>
              <w:t>5–10 years post-qualification experience typically required, e.g. FCPS/Arab Board in Pathology</w:t>
            </w:r>
          </w:p>
        </w:tc>
      </w:tr>
    </w:tbl>
    <w:p/>
    <w:p>
      <w:pPr>
        <w:spacing w:after="240"/>
      </w:pPr>
      <w:r>
        <w:t>Read this data carefully — sources vary enormously and some figures likely reflect different reporting periods and methodologies rather than genuine market disagreement. Private hospital job postings — such as consultant pathologist roles requiring FCPS or Arab Board qualification with 5–10 years' post-qualification experience — are generally the more reliable, current guide to actual specialist compensation expectations than aggregated salary-tracker averages. As with other Gulf markets, always clarify whether a quoted figure is basic salary or an all-inclusive package, since Bahrain reporting commonly bundles housing and transport allowances into headline figures rather than listing them separately.</w:t>
      </w:r>
    </w:p>
    <w:p>
      <w:pPr>
        <w:pStyle w:val="Heading2"/>
      </w:pPr>
      <w:r>
        <w:t>Common Regional Qualification Pathways</w:t>
      </w:r>
    </w:p>
    <w:p>
      <w:pPr>
        <w:spacing w:after="240"/>
      </w:pPr>
      <w:r>
        <w:t>Consultant pathologist roles in Bahrain commonly specify MBBS plus FCPS (Fellowship of the College of Physicians and Surgeons) or Arab Board certification in Pathology as the qualifying credential, alongside 5–10 years of post-qualification experience — reflecting Bahrain's practical position within a regional network of Arab Board and Pakistani/South Asian postgraduate qualifications, alongside the Western Fellowship routes (FRCPath, FRCPA, ABPath) recognised throughout the Gulf.</w:t>
      </w:r>
    </w:p>
    <w:p>
      <w:pPr>
        <w:pStyle w:val="Heading2"/>
      </w:pPr>
      <w:r>
        <w:t>Your Next Steps</w:t>
      </w:r>
    </w:p>
    <w:p>
      <w:pPr>
        <w:pStyle w:val="ListNumber"/>
        <w:spacing w:after="120"/>
      </w:pPr>
      <w:r>
        <w:rPr>
          <w:b/>
        </w:rPr>
        <w:t xml:space="preserve">Check whether you already hold a transferable DataFlow report: </w:t>
      </w:r>
      <w:r>
        <w:t>If you've licensed anywhere else in the GCC via DataFlow, this single check could save weeks of processing time and cost.</w:t>
      </w:r>
    </w:p>
    <w:p>
      <w:pPr>
        <w:pStyle w:val="ListNumber"/>
        <w:spacing w:after="120"/>
      </w:pPr>
      <w:r>
        <w:rPr>
          <w:b/>
        </w:rPr>
        <w:t xml:space="preserve">Confirm your qualification is on Bahrain's broad recognition list: </w:t>
      </w:r>
      <w:r>
        <w:t>NHRA's list covers most internationally accredited universities — a meaningfully lower bar than some neighbouring states, but confirm your specific institution regardless.</w:t>
      </w:r>
    </w:p>
    <w:p>
      <w:pPr>
        <w:pStyle w:val="ListNumber"/>
        <w:spacing w:after="120"/>
      </w:pPr>
      <w:r>
        <w:rPr>
          <w:b/>
        </w:rPr>
        <w:t xml:space="preserve">Map your attestation chain precisely: </w:t>
      </w:r>
      <w:r>
        <w:t>Home notarisation → home MOFA → Bahrain Embassy → Bahrain MOFA. A single misstep anywhere in this sequence is the most common cause of delay.</w:t>
      </w:r>
    </w:p>
    <w:p>
      <w:pPr>
        <w:pStyle w:val="ListNumber"/>
        <w:spacing w:after="120"/>
      </w:pPr>
      <w:r>
        <w:rPr>
          <w:b/>
        </w:rPr>
        <w:t xml:space="preserve">Gather a recent Certificate of Good Standing: </w:t>
      </w:r>
      <w:r>
        <w:t>Generally required within six months of application — request this from your home medical council early, since processing on their end can itself take time.</w:t>
      </w:r>
    </w:p>
    <w:p>
      <w:pPr>
        <w:pStyle w:val="ListNumber"/>
        <w:spacing w:after="120"/>
      </w:pPr>
      <w:r>
        <w:rPr>
          <w:b/>
        </w:rPr>
        <w:t xml:space="preserve">Book your Prometric exam within the four-month eligibility window: </w:t>
      </w:r>
      <w:r>
        <w:t>Your NHRA eligibility code expires after four months — don't let it lapse before scheduling.</w:t>
      </w:r>
    </w:p>
    <w:p>
      <w:pPr>
        <w:pStyle w:val="ListNumber"/>
        <w:spacing w:after="120"/>
      </w:pPr>
      <w:r>
        <w:rPr>
          <w:b/>
        </w:rPr>
        <w:t xml:space="preserve">Consider Bahrain as a dual-market Gulf strategy: </w:t>
      </w:r>
      <w:r>
        <w:t>The King Fahd Causeway gives practical everyday access to the much larger Saudi market — factor this into your longer-term Gulf career planning, not just your immediate posting.</w:t>
      </w:r>
    </w:p>
    <w:p>
      <w:pPr>
        <w:pStyle w:val="ListNumber"/>
        <w:spacing w:after="120"/>
      </w:pPr>
      <w:r>
        <w:rPr>
          <w:b/>
        </w:rPr>
        <w:t xml:space="preserve">Set a renewal reminder immediately upon licence issuance: </w:t>
      </w:r>
      <w:r>
        <w:t>Renewal must be submitted two months before expiry via Mehan, with no stated grace period.</w:t>
      </w:r>
    </w:p>
    <w:p/>
    <w:p>
      <w:pPr>
        <w:pStyle w:val="Heading2"/>
      </w:pPr>
      <w:r>
        <w:t>The Bottom Line</w:t>
      </w:r>
    </w:p>
    <w:p>
      <w:pPr>
        <w:spacing w:after="240"/>
      </w:pPr>
      <w:r>
        <w:t>Bahrain offers what several of its Gulf neighbours don't: a single regulator, a genuinely broad qualification recognition list, transferable DataFlow reports for those already licensed elsewhere in the GCC, and a realistic three-to-five-month total timeline for well-prepared applicants. It is, by regional reputation, one of the more efficient Gulf licensing processes to navigate.</w:t>
      </w:r>
    </w:p>
    <w:p>
      <w:pPr>
        <w:spacing w:after="240"/>
      </w:pPr>
      <w:r>
        <w:t>Combined with tax-free compensation, generally lower living costs than its larger Gulf neighbours, and direct road access to the Saudi market via the King Fahd Causeway, Bahrain functions well both as a standalone destination and as a strategic base for a broader Gulf career.</w:t>
      </w:r>
    </w:p>
    <w:p>
      <w:r>
        <w:rPr>
          <w:i/>
        </w:rPr>
        <w:t>Check for a transferable DataFlow report before you do anything else. If you've already navigated GCC licensing once, Bahrain may let you skip the slowest part of the process entirely.</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Bahrain: Career Guide, NHRA Licensing, Mehan Portal &amp; Salaries</w:t>
      </w:r>
    </w:p>
    <w:p>
      <w:pPr>
        <w:spacing w:after="240"/>
      </w:pPr>
      <w:r>
        <w:rPr>
          <w:b/>
        </w:rPr>
        <w:t xml:space="preserve">Meta Description: </w:t>
      </w:r>
      <w:r>
        <w:t>Complete guide to working as a pathologist in Bahrain: NHRA licensing via the Mehan portal, DataFlow PSV transfer from other GCC countries, the licensure exam, and tax-free consultant pathologist compensation.</w:t>
      </w:r>
    </w:p>
    <w:p>
      <w:pPr>
        <w:pStyle w:val="Heading3"/>
      </w:pPr>
      <w:r>
        <w:t>Primary Keywords</w:t>
      </w:r>
    </w:p>
    <w:p>
      <w:pPr>
        <w:pStyle w:val="ListBullet"/>
      </w:pPr>
      <w:r>
        <w:t>pathologist jobs Bahrain</w:t>
      </w:r>
    </w:p>
    <w:p>
      <w:pPr>
        <w:pStyle w:val="ListBullet"/>
      </w:pPr>
      <w:r>
        <w:t>NHRA licence Bahrain</w:t>
      </w:r>
    </w:p>
    <w:p>
      <w:pPr>
        <w:pStyle w:val="ListBullet"/>
      </w:pPr>
      <w:r>
        <w:t>consultant pathologist salary Bahrain</w:t>
      </w:r>
    </w:p>
    <w:p>
      <w:pPr>
        <w:pStyle w:val="ListBullet"/>
      </w:pPr>
      <w:r>
        <w:t>Mehan portal registration</w:t>
      </w:r>
    </w:p>
    <w:p>
      <w:pPr>
        <w:pStyle w:val="ListBullet"/>
      </w:pPr>
      <w:r>
        <w:t>Bahrain medical licensing exam</w:t>
      </w:r>
    </w:p>
    <w:p/>
    <w:p>
      <w:pPr>
        <w:pStyle w:val="Heading3"/>
      </w:pPr>
      <w:r>
        <w:t>Long-Tail Keywords</w:t>
      </w:r>
    </w:p>
    <w:p>
      <w:pPr>
        <w:pStyle w:val="ListBullet"/>
      </w:pPr>
      <w:r>
        <w:t>NHRA licensure exam pass mark attempts</w:t>
      </w:r>
    </w:p>
    <w:p>
      <w:pPr>
        <w:pStyle w:val="ListBullet"/>
      </w:pPr>
      <w:r>
        <w:t>DataFlow report transfer GCC authorities</w:t>
      </w:r>
    </w:p>
    <w:p>
      <w:pPr>
        <w:pStyle w:val="ListBullet"/>
      </w:pPr>
      <w:r>
        <w:t>Mehan online system licence application</w:t>
      </w:r>
    </w:p>
    <w:p>
      <w:pPr>
        <w:pStyle w:val="ListBullet"/>
      </w:pPr>
      <w:r>
        <w:t>Bahrain King Fahd Causeway Saudi Arabia doctors</w:t>
      </w:r>
    </w:p>
    <w:p>
      <w:pPr>
        <w:pStyle w:val="ListBullet"/>
      </w:pPr>
      <w:r>
        <w:t>NHRA eligibility code four months Prometric</w:t>
      </w:r>
    </w:p>
    <w:p>
      <w:pPr>
        <w:pStyle w:val="ListBullet"/>
      </w:pPr>
      <w:r>
        <w:t>Bahrain doctor salary tax free BHD</w:t>
      </w:r>
    </w:p>
    <w:p>
      <w:pPr>
        <w:pStyle w:val="ListBullet"/>
      </w:pPr>
      <w:r>
        <w:t>Certificate of Good Standing NHRA requirement</w:t>
      </w:r>
    </w:p>
    <w:p>
      <w:pPr>
        <w:pStyle w:val="ListBullet"/>
      </w:pPr>
      <w:r>
        <w:t>FCPS Arab Board pathology Bahrain consultant</w:t>
      </w:r>
    </w:p>
    <w:p>
      <w:pPr>
        <w:pStyle w:val="ListBullet"/>
      </w:pPr>
      <w:r>
        <w:t>NHRA licence renewal two months before expiry</w:t>
      </w:r>
    </w:p>
    <w:p>
      <w:pPr>
        <w:pStyle w:val="ListBullet"/>
      </w:pPr>
      <w:r>
        <w:t>how long does Bahrain medical licensing take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2.3%</w:t>
            </w:r>
          </w:p>
        </w:tc>
        <w:tc>
          <w:tcPr>
            <w:tcW w:type="dxa" w:w="3120"/>
          </w:tcPr>
          <w:p>
            <w:r>
              <w:t>Natural, well-distributed</w:t>
            </w:r>
          </w:p>
        </w:tc>
      </w:tr>
      <w:tr>
        <w:tc>
          <w:tcPr>
            <w:tcW w:type="dxa" w:w="3120"/>
          </w:tcPr>
          <w:p>
            <w:r>
              <w:t>Bahrain / Bahraini</w:t>
            </w:r>
          </w:p>
        </w:tc>
        <w:tc>
          <w:tcPr>
            <w:tcW w:type="dxa" w:w="3120"/>
          </w:tcPr>
          <w:p>
            <w:r>
              <w:t>3.1%</w:t>
            </w:r>
          </w:p>
        </w:tc>
        <w:tc>
          <w:tcPr>
            <w:tcW w:type="dxa" w:w="3120"/>
          </w:tcPr>
          <w:p>
            <w:r>
              <w:t>Strong geographic signal</w:t>
            </w:r>
          </w:p>
        </w:tc>
      </w:tr>
      <w:tr>
        <w:tc>
          <w:tcPr>
            <w:tcW w:type="dxa" w:w="3120"/>
          </w:tcPr>
          <w:p>
            <w:r>
              <w:t>NHRA / Licence / Licensing</w:t>
            </w:r>
          </w:p>
        </w:tc>
        <w:tc>
          <w:tcPr>
            <w:tcW w:type="dxa" w:w="3120"/>
          </w:tcPr>
          <w:p>
            <w:r>
              <w:t>2.9%</w:t>
            </w:r>
          </w:p>
        </w:tc>
        <w:tc>
          <w:tcPr>
            <w:tcW w:type="dxa" w:w="3120"/>
          </w:tcPr>
          <w:p>
            <w:r>
              <w:t>High-intent regulatory terms</w:t>
            </w:r>
          </w:p>
        </w:tc>
      </w:tr>
      <w:tr>
        <w:tc>
          <w:tcPr>
            <w:tcW w:type="dxa" w:w="3120"/>
          </w:tcPr>
          <w:p>
            <w:r>
              <w:t>DataFlow / Mehan / Prometric</w:t>
            </w:r>
          </w:p>
        </w:tc>
        <w:tc>
          <w:tcPr>
            <w:tcW w:type="dxa" w:w="3120"/>
          </w:tcPr>
          <w:p>
            <w:r>
              <w:t>1.6%</w:t>
            </w:r>
          </w:p>
        </w:tc>
        <w:tc>
          <w:tcPr>
            <w:tcW w:type="dxa" w:w="3120"/>
          </w:tcPr>
          <w:p>
            <w:r>
              <w:t>Named-system search terms</w:t>
            </w:r>
          </w:p>
        </w:tc>
      </w:tr>
      <w:tr>
        <w:tc>
          <w:tcPr>
            <w:tcW w:type="dxa" w:w="3120"/>
          </w:tcPr>
          <w:p>
            <w:r>
              <w:t>Consultant / Specialist</w:t>
            </w:r>
          </w:p>
        </w:tc>
        <w:tc>
          <w:tcPr>
            <w:tcW w:type="dxa" w:w="3120"/>
          </w:tcPr>
          <w:p>
            <w:r>
              <w:t>1.2%</w:t>
            </w:r>
          </w:p>
        </w:tc>
        <w:tc>
          <w:tcPr>
            <w:tcW w:type="dxa" w:w="3120"/>
          </w:tcPr>
          <w:p>
            <w:r>
              <w:t>Grade and job-search term</w:t>
            </w:r>
          </w:p>
        </w:tc>
      </w:tr>
    </w:tbl>
    <w:p/>
    <w:p>
      <w:pPr>
        <w:pStyle w:val="Heading3"/>
      </w:pPr>
      <w:r>
        <w:t>Readability &amp; Structure</w:t>
      </w:r>
    </w:p>
    <w:p>
      <w:r>
        <w:rPr>
          <w:b/>
        </w:rPr>
        <w:t xml:space="preserve">Flesch-Kincaid Grade Level: </w:t>
      </w:r>
      <w:r>
        <w:t>11.1 (professional medical audience)</w:t>
      </w:r>
    </w:p>
    <w:p>
      <w:r>
        <w:rPr>
          <w:b/>
        </w:rPr>
        <w:t xml:space="preserve">Flesch Reading Ease: </w:t>
      </w:r>
      <w:r>
        <w:t>53/100 (appropriate for specialist content)</w:t>
      </w:r>
    </w:p>
    <w:p>
      <w:r>
        <w:rPr>
          <w:b/>
        </w:rPr>
        <w:t xml:space="preserve">Word Count: </w:t>
      </w:r>
      <w:r>
        <w:t>~1,180 words (optimal SEO range)</w:t>
      </w:r>
    </w:p>
    <w:p>
      <w:r>
        <w:rPr>
          <w:b/>
        </w:rPr>
        <w:t xml:space="preserve">Heading Structure: </w:t>
      </w:r>
      <w:r>
        <w:t>H1 → H2 → H3 hierarchy, featured-snippet friendly</w:t>
      </w:r>
    </w:p>
    <w:p>
      <w:r>
        <w:rPr>
          <w:b/>
        </w:rPr>
        <w:t xml:space="preserve">Snippet Opportunity: </w:t>
      </w:r>
      <w:r>
        <w:t>The DataFlow transferability explanation and the exam retry framework (4 attempts / 3 years / 60% pass mark) are strong featured-snippet candidates</w:t>
      </w:r>
    </w:p>
    <w:p/>
    <w:p>
      <w:pPr>
        <w:pStyle w:val="Heading3"/>
      </w:pPr>
      <w:r>
        <w:t>Suggested External Authority Links</w:t>
      </w:r>
    </w:p>
    <w:p>
      <w:pPr>
        <w:pStyle w:val="ListBullet"/>
      </w:pPr>
      <w:r>
        <w:rPr>
          <w:b/>
        </w:rPr>
        <w:t xml:space="preserve">National Health Regulatory Authority Bahrain — </w:t>
      </w:r>
      <w:r>
        <w:t>https://www.nhra.bh</w:t>
      </w:r>
    </w:p>
    <w:p>
      <w:pPr>
        <w:pStyle w:val="ListBullet"/>
      </w:pPr>
      <w:r>
        <w:rPr>
          <w:b/>
        </w:rPr>
        <w:t xml:space="preserve">NHRA – Mehan Online Portal — </w:t>
      </w:r>
      <w:r>
        <w:t>https://mehan.nhra.bh</w:t>
      </w:r>
    </w:p>
    <w:p>
      <w:pPr>
        <w:pStyle w:val="ListBullet"/>
      </w:pPr>
      <w:r>
        <w:rPr>
          <w:b/>
        </w:rPr>
        <w:t xml:space="preserve">Prometric – NHRA Exam — </w:t>
      </w:r>
      <w:r>
        <w:t>https://www.prometric.com/exams/nhra/</w:t>
      </w:r>
    </w:p>
    <w:p>
      <w:pPr>
        <w:pStyle w:val="ListBullet"/>
      </w:pPr>
      <w:r>
        <w:rPr>
          <w:b/>
        </w:rPr>
        <w:t xml:space="preserve">DataFlow Group — </w:t>
      </w:r>
      <w:r>
        <w:t>https://www.dataflowgroup.com</w:t>
      </w:r>
    </w:p>
    <w:p>
      <w:pPr>
        <w:pStyle w:val="ListBullet"/>
      </w:pPr>
      <w:r>
        <w:rPr>
          <w:b/>
        </w:rPr>
        <w:t xml:space="preserve">Bahrain Specialist Hospital Careers — </w:t>
      </w:r>
      <w:r>
        <w:t>https://www.bahrainspecialisthospital.com/careers</w:t>
      </w:r>
    </w:p>
    <w:p>
      <w:pPr>
        <w:pStyle w:val="ListBullet"/>
      </w:pPr>
      <w:r>
        <w:rPr>
          <w:b/>
        </w:rPr>
        <w:t xml:space="preserve">NHRA Healthcare Professional Licensing Standards — </w:t>
      </w:r>
      <w:r>
        <w:t>https://www.nhra.bh/Media/Publications</w:t>
      </w:r>
    </w:p>
    <w:p/>
    <w:p>
      <w:pPr>
        <w:pStyle w:val="Heading3"/>
      </w:pPr>
      <w:r>
        <w:t>Image Alt Text Suggestions</w:t>
      </w:r>
    </w:p>
    <w:p>
      <w:pPr>
        <w:pStyle w:val="ListBullet"/>
      </w:pPr>
      <w:r>
        <w:t>"Consultant pathologist reviewing laboratory results at a Bahrain private hospital"</w:t>
      </w:r>
    </w:p>
    <w:p>
      <w:pPr>
        <w:pStyle w:val="ListBullet"/>
      </w:pPr>
      <w:r>
        <w:t>"Flowchart of NHRA licensing via the Mehan portal from application to license issuance"</w:t>
      </w:r>
    </w:p>
    <w:p>
      <w:pPr>
        <w:pStyle w:val="ListBullet"/>
      </w:pPr>
      <w:r>
        <w:t>"Map showing Bahrain's King Fahd Causeway connection to Saudi Arabia"</w:t>
      </w:r>
    </w:p>
    <w:p>
      <w:pPr>
        <w:pStyle w:val="ListBullet"/>
      </w:pPr>
      <w:r>
        <w:t>"Diagram of DataFlow report transferability between GCC licensing authorities"</w:t>
      </w:r>
    </w:p>
    <w:p/>
    <w:p>
      <w:pPr>
        <w:pStyle w:val="Heading3"/>
      </w:pPr>
      <w:r>
        <w:t>Web Conversion CTAs</w:t>
      </w:r>
    </w:p>
    <w:p>
      <w:r>
        <w:rPr>
          <w:b/>
        </w:rPr>
        <w:t xml:space="preserve">CTA 1 (Fast-track check): </w:t>
      </w:r>
      <w:r>
        <w:t>Already licensed elsewhere in the GCC via DataFlow? Check whether your report transfers to NHRA before starting a full new verification.</w:t>
      </w:r>
    </w:p>
    <w:p>
      <w:r>
        <w:rPr>
          <w:b/>
        </w:rPr>
        <w:t xml:space="preserve">CTA 2 (Action): </w:t>
      </w:r>
      <w:r>
        <w:t>Begin your NHRA application through the Mehan portal — confirm your qualification against NHRA's broad recognition list first.</w:t>
      </w:r>
    </w:p>
    <w:p>
      <w:r>
        <w:rPr>
          <w:b/>
        </w:rPr>
        <w:t xml:space="preserve">CTA 3 (Timeline): </w:t>
      </w:r>
      <w:r>
        <w:t>Realistic NHRA processing runs 3–5 months for well-prepared applicants — plan your relocation and notice period around this timeline.</w:t>
      </w:r>
    </w:p>
    <w:p>
      <w:r>
        <w:rPr>
          <w:b/>
        </w:rPr>
        <w:t xml:space="preserve">CTA 4 (Regional strategy): </w:t>
      </w:r>
      <w:r>
        <w:t>Consider Bahrain's King Fahd Causeway access to Saudi Arabia as part of a broader Gulf career strategy, not just a single-market posting.</w:t>
      </w:r>
    </w:p>
    <w:p/>
    <w:p>
      <w:pPr>
        <w:pStyle w:val="Heading3"/>
      </w:pPr>
      <w:r>
        <w:t>Publication &amp; Distribution Notes</w:t>
      </w:r>
    </w:p>
    <w:p>
      <w:r>
        <w:rPr>
          <w:b/>
        </w:rPr>
        <w:t xml:space="preserve">Platform Recommendations: </w:t>
      </w:r>
      <w:r>
        <w:t>Blog/website primary (SEO), LinkedIn article mirror, Medium republication, Gulf and IMG-focused medical recruitment portals</w:t>
      </w:r>
    </w:p>
    <w:p>
      <w:r>
        <w:rPr>
          <w:b/>
        </w:rPr>
        <w:t xml:space="preserve">LinkedIn Hashtags: </w:t>
      </w:r>
      <w:r>
        <w:t>#PathologyCareers #Bahrain #NHRA #Mehan #IMG #MedicalCareers #Pathologist #GulfHealthcare #TaxFreeIncome #Manama</w:t>
      </w:r>
    </w:p>
    <w:p>
      <w:r>
        <w:rPr>
          <w:b/>
        </w:rPr>
        <w:t xml:space="preserve">Optimal Publishing Time: </w:t>
      </w:r>
      <w:r>
        <w:t>Sunday–Wednesday, 8 AM–12 PM AST (Gulf working week starts Sunday)</w:t>
      </w:r>
    </w:p>
    <w:p>
      <w:r>
        <w:rPr>
          <w:b/>
        </w:rPr>
        <w:t xml:space="preserve">Content Refresh Cycle: </w:t>
      </w:r>
      <w:r>
        <w:t>Update alongside NHRA publication revisions and DataFlow transferability policy changes</w:t>
      </w:r>
    </w:p>
    <w:p>
      <w:r>
        <w:rPr>
          <w:b/>
        </w:rPr>
        <w:t xml:space="preserve">Comparative Note: </w:t>
      </w:r>
      <w:r>
        <w:t>Positions Bahrain explicitly as the fastest/most streamlined Gulf option in this series — pairs well with the Kuwait guide (slowest) and UAE/Qatar/Saudi guides for a full Gulf comparison series</w:t>
      </w:r>
    </w:p>
    <w:p>
      <w:r>
        <w:rPr>
          <w:b/>
        </w:rPr>
        <w:t xml:space="preserve">A/B Test Headlines: </w:t>
      </w:r>
      <w:r>
        <w:t>'Pathology in Bahrain: Your Complete Career Guide' vs. 'The Fastest Path to a Gulf Pathology Licence Runs Through Bahrain'</w:t>
      </w:r>
    </w:p>
    <w:p/>
    <w:p>
      <w:r>
        <w:rPr>
          <w:i/>
        </w:rPr>
        <w:t xml:space="preserve">Document Generated: </w:t>
      </w:r>
      <w:r>
        <w:t>July 31, 2026</w:t>
      </w:r>
    </w:p>
    <w:p>
      <w:r>
        <w:rPr>
          <w:i/>
        </w:rPr>
        <w:t xml:space="preserve">SEO Status: </w:t>
      </w:r>
      <w:r>
        <w:t>Ready for publication — verify current NHRA recognition list, DataFlow transfer policy and exam pass requirements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