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China: Your Complete Career Guide to a Decade-Old Standardised System</w:t>
      </w:r>
    </w:p>
    <w:p>
      <w:pPr>
        <w:jc w:val="center"/>
      </w:pPr>
      <w:r>
        <w:rPr>
          <w:i/>
          <w:color w:val="666666"/>
          <w:sz w:val="26"/>
        </w:rPr>
        <w:t>Standardised Residency Training, Case-Volume Requirements &amp; Salaries</w:t>
      </w:r>
    </w:p>
    <w:p>
      <w:pPr>
        <w:jc w:val="center"/>
      </w:pPr>
      <w:r>
        <w:rPr>
          <w:i/>
          <w:color w:val="969696"/>
          <w:sz w:val="20"/>
        </w:rPr>
        <w:t>Last Updated: July 31, 2026</w:t>
      </w:r>
    </w:p>
    <w:p/>
    <w:p>
      <w:pPr>
        <w:pStyle w:val="Heading1"/>
      </w:pPr>
      <w:r>
        <w:t>A National Training System Still Finding Its Feet — With Genuinely Massive Case Volumes</w:t>
      </w:r>
    </w:p>
    <w:p>
      <w:pPr>
        <w:spacing w:after="240"/>
      </w:pPr>
      <w:r>
        <w:t>China's pathology residency is remarkably young as a formal national system: standardised residency training across all Chinese medical specialties, mandated under the Medical Practitioners Law, was formally established only in 2014 — meaning the entire structured pathology residency pathway is barely a decade old at national scale. What that system lacks in institutional age, it makes up for in sheer clinical volume: accreditation requirements for training programmes specify residents must personally perform at least 50 autopsies and 200 intraoperative consultations, preview at least 1,500 cytology cases, and assess 2,000 surgical pathology specimens — figures that dwarf minimum case requirements in many longer-established Western training systems.</w:t>
      </w:r>
    </w:p>
    <w:p>
      <w:pPr>
        <w:spacing w:after="240"/>
      </w:pPr>
      <w:r>
        <w:t>This combination — a young, still-maturing standardised system layered onto a health system serving 1.4 billion people — creates both real opportunity and real variability. Case volumes are enormous almost everywhere, but training quality and consistency between regions and institutions is still actively being assessed and improved, as recent provincial evaluation studies make clear.</w:t>
      </w:r>
    </w:p>
    <w:p>
      <w:pPr>
        <w:pStyle w:val="Heading2"/>
      </w:pPr>
      <w:r>
        <w:t>Why Choose China for Your Pathology Career?</w:t>
      </w:r>
    </w:p>
    <w:p>
      <w:pPr>
        <w:pStyle w:val="ListBullet"/>
        <w:spacing w:after="120"/>
      </w:pPr>
      <w:r>
        <w:rPr>
          <w:b/>
        </w:rPr>
        <w:t xml:space="preserve">Genuinely Massive Clinical Case Exposure: </w:t>
      </w:r>
      <w:r>
        <w:t>Minimum accreditation requirements alone specify 50 autopsies, 200 intraoperative consultations, 1,500 cytology previews and 2,000 surgical specimens during residency — and resident surveys suggest ideal caseloads for gross examination and preview commonly exceed 5,000 and 7,000 cases respectively.</w:t>
      </w:r>
    </w:p>
    <w:p>
      <w:pPr>
        <w:pStyle w:val="ListBullet"/>
        <w:spacing w:after="120"/>
      </w:pPr>
      <w:r>
        <w:rPr>
          <w:b/>
        </w:rPr>
        <w:t xml:space="preserve">A Health System Serving 1.4 Billion People: </w:t>
      </w:r>
      <w:r>
        <w:t>Scale alone creates enormous diagnostic volume and correspondingly rapid skill development — Chinese patients sought medical care over 8.3 billion times in a single recent year, reflecting an extraordinarily high-throughput clinical environment.</w:t>
      </w:r>
    </w:p>
    <w:p>
      <w:pPr>
        <w:pStyle w:val="ListBullet"/>
        <w:spacing w:after="120"/>
      </w:pPr>
      <w:r>
        <w:rPr>
          <w:b/>
        </w:rPr>
        <w:t xml:space="preserve">Legally Mandated Training Standards: </w:t>
      </w:r>
      <w:r>
        <w:t>Since the Medical Practitioners Law formally established residency training and continuing specialist training systems, the state is legally committed to guaranteeing resident benefits during training and enforcing strict management of the training process and final assessment.</w:t>
      </w:r>
    </w:p>
    <w:p>
      <w:pPr>
        <w:pStyle w:val="ListBullet"/>
        <w:spacing w:after="120"/>
      </w:pPr>
      <w:r>
        <w:rPr>
          <w:b/>
        </w:rPr>
        <w:t xml:space="preserve">Rapid Development of Independent Practice Competence: </w:t>
      </w:r>
      <w:r>
        <w:t>Provincial survey data shows a substantial majority (81.8% in one Hubei study) of newly practising pathologists report being able to sign out cases independently upon completing training — evidence the high-volume model does translate into genuine diagnostic competence.</w:t>
      </w:r>
    </w:p>
    <w:p>
      <w:pPr>
        <w:pStyle w:val="ListBullet"/>
        <w:spacing w:after="120"/>
      </w:pPr>
      <w:r>
        <w:rPr>
          <w:b/>
        </w:rPr>
        <w:t xml:space="preserve">Active, Self-Critical Quality Assessment: </w:t>
      </w:r>
      <w:r>
        <w:t>Chinese pathology education researchers are actively surveying and publishing on residency training quality, competency gaps (such as inconsistent molecular pathology exposure) and regional variation — a system genuinely working to identify and close its own gaps rather than assuming uniform quality.</w:t>
      </w:r>
    </w:p>
    <w:p>
      <w:pPr>
        <w:pStyle w:val="ListBullet"/>
        <w:spacing w:after="120"/>
      </w:pPr>
      <w:r>
        <w:rPr>
          <w:b/>
        </w:rPr>
        <w:t xml:space="preserve">Significant Compensation Ceiling in Major Cities: </w:t>
      </w:r>
      <w:r>
        <w:t>Reported physician compensation in major centres like Shanghai runs meaningfully above smaller-city and national averages, reflecting China's substantial urban-rural and tier-city compensation gradient.</w:t>
      </w:r>
    </w:p>
    <w:p/>
    <w:p>
      <w:pPr>
        <w:pStyle w:val="Heading2"/>
      </w:pPr>
      <w:r>
        <w:t>Your Step-by-Step Pathway to Practising Pathology in China</w:t>
      </w:r>
    </w:p>
    <w:p>
      <w:pPr>
        <w:pStyle w:val="Heading3"/>
      </w:pPr>
      <w:r>
        <w:t>Stage 1: Medical Degree and Physician Qualification</w:t>
      </w:r>
    </w:p>
    <w:p>
      <w:pPr>
        <w:spacing w:after="240"/>
      </w:pPr>
      <w:r>
        <w:t>Chinese medical education culminates in the national physician licensing examination administered under the Medical Practitioners Law framework, which governs the entire structure of physician training, continuing education and specialist development nationally.</w:t>
      </w:r>
    </w:p>
    <w:p>
      <w:pPr>
        <w:pStyle w:val="Heading3"/>
      </w:pPr>
      <w:r>
        <w:t>Stage 2: Standardised Residency Training (Established 2014)</w:t>
      </w:r>
    </w:p>
    <w:p>
      <w:pPr>
        <w:spacing w:after="240"/>
      </w:pPr>
      <w:r>
        <w:t>China's national standardised residency training system (住院医师规范化培训) was formally established in 2014, replacing what had previously been a more fragmented, institution-by-institution approach to specialty training. Pathology residency specifically began under this national system in the same period, with programmes evaluated on both process measures (minimum case volumes, procedural requirements) and — increasingly, per ongoing academic critique — broader competency domains including professionalism, communication and scholarship.</w:t>
      </w:r>
    </w:p>
    <w:p>
      <w:pPr>
        <w:pStyle w:val="Heading3"/>
      </w:pPr>
      <w:r>
        <w:t>Stage 3: Meeting Minimum Case Volume Requirements</w:t>
      </w:r>
    </w:p>
    <w:p>
      <w:pPr>
        <w:spacing w:after="160"/>
      </w:pPr>
      <w:r>
        <w:t>To obtain programme accreditation, training sites must ensure residents personally perform or assess, at minimum:</w:t>
      </w:r>
    </w:p>
    <w:p>
      <w:pPr>
        <w:pStyle w:val="ListBullet"/>
        <w:ind w:left="720"/>
      </w:pPr>
      <w:r>
        <w:t>At least 50 autopsies</w:t>
      </w:r>
    </w:p>
    <w:p>
      <w:pPr>
        <w:pStyle w:val="ListBullet"/>
        <w:ind w:left="720"/>
      </w:pPr>
      <w:r>
        <w:t>At least 200 intraoperative (frozen section) consultations</w:t>
      </w:r>
    </w:p>
    <w:p>
      <w:pPr>
        <w:pStyle w:val="ListBullet"/>
        <w:ind w:left="720"/>
      </w:pPr>
      <w:r>
        <w:t>At least 1,500 cytology case previews</w:t>
      </w:r>
    </w:p>
    <w:p>
      <w:pPr>
        <w:pStyle w:val="ListBullet"/>
        <w:ind w:left="720"/>
      </w:pPr>
      <w:r>
        <w:t>At least 2,000 surgical pathology specimen assessments</w:t>
      </w:r>
    </w:p>
    <w:p/>
    <w:p>
      <w:pPr>
        <w:spacing w:after="240"/>
      </w:pPr>
      <w:r>
        <w:t>Resident survey data from Hubei province suggests actual practice commonly exceeds these formal minimums substantially, with residents and new practitioners reporting ideal gross-examination and case-preview caseloads greater than 5,000 and 7,000 respectively — reflecting the sheer diagnostic throughput of Chinese hospital pathology departments generally.</w:t>
      </w:r>
    </w:p>
    <w:p>
      <w:pPr>
        <w:pStyle w:val="Heading3"/>
      </w:pPr>
      <w:r>
        <w:t>Stage 4: Monthly, Rotational and Annual Assessment</w:t>
      </w:r>
    </w:p>
    <w:p>
      <w:pPr>
        <w:spacing w:after="240"/>
      </w:pPr>
      <w:r>
        <w:t>National guidelines specify that resident assessment should occur monthly, at the conclusion of each rotation, and annually — a genuinely frequent assessment cadence designed to catch competency gaps early rather than relying solely on a single end-of-training examination.</w:t>
      </w:r>
    </w:p>
    <w:p>
      <w:pPr>
        <w:pStyle w:val="Heading3"/>
      </w:pPr>
      <w:r>
        <w:t>Stage 5: The Certification Examination</w:t>
      </w:r>
    </w:p>
    <w:p>
      <w:pPr>
        <w:spacing w:after="240"/>
      </w:pPr>
      <w:r>
        <w:t>To be eligible to sit the certification examination, residents must have successfully completed all required rotations and met the minimum case-number requirements specified above. This gatekeeping — case volumes must be genuinely completed and documented, not merely time-served — reflects the process-measurement-focused character of the current Chinese system, which academic reviewers have noted places more emphasis on quantifiable case numbers than on broader competency-based outcome measures, an area of active ongoing reform discussion.</w:t>
      </w:r>
    </w:p>
    <w:p>
      <w:pPr>
        <w:pStyle w:val="Heading2"/>
      </w:pPr>
      <w:r>
        <w:t>A Note on Molecular Pathology and Subspecialty Training Variability</w:t>
      </w:r>
    </w:p>
    <w:p>
      <w:pPr>
        <w:spacing w:after="240"/>
      </w:pPr>
      <w:r>
        <w:t>Provincial survey data is genuinely useful here for setting realistic expectations: while residents in the Hubei study reported reasonable competency and exposure in cytopathology, immunohistochemistry and histochemical staining, some residents specifically reported inadequate training in molecular pathology — an area worth asking about directly when evaluating specific training programmes, since exposure appears to vary by institution rather than being uniformly guaranteed nationally.</w:t>
      </w:r>
    </w:p>
    <w:p>
      <w:pPr>
        <w:pStyle w:val="Heading2"/>
      </w:pPr>
      <w:r>
        <w:t>Total Timeline</w:t>
      </w:r>
    </w:p>
    <w:p>
      <w:r>
        <w:rPr>
          <w:b/>
        </w:rPr>
        <w:t xml:space="preserve">Standard pathway: </w:t>
      </w:r>
      <w:r>
        <w:t>Medical degree + national licensing examination + standardised pathology residency training (meeting minimum case-volume requirements across autopsy, intraoperative consultation, cytology and surgical pathology) + certification examination</w:t>
      </w:r>
    </w:p>
    <w:p/>
    <w:p>
      <w:pPr>
        <w:pStyle w:val="Heading2"/>
      </w:pPr>
      <w:r>
        <w:t>The Bodies That Govern Your Career</w:t>
      </w:r>
    </w:p>
    <w:p>
      <w:pPr>
        <w:spacing w:after="160"/>
      </w:pPr>
      <w:r>
        <w:rPr>
          <w:b/>
        </w:rPr>
        <w:t xml:space="preserve">National Health Commission (formerly NHFPC) — </w:t>
      </w:r>
      <w:r>
        <w:t>The national health authority overseeing standardised residency training policy, incentive mechanisms for clinical teaching institutions, and the broader specialist training framework mandated under the Medical Practitioners Law.</w:t>
      </w:r>
    </w:p>
    <w:p>
      <w:pPr>
        <w:spacing w:after="160"/>
      </w:pPr>
      <w:r>
        <w:rPr>
          <w:b/>
        </w:rPr>
        <w:t xml:space="preserve">Provincial and Institutional Training Accreditation Bodies — </w:t>
      </w:r>
      <w:r>
        <w:t>Individual provinces and training hospitals implement and locally administer the national standardised training requirements, including case-volume documentation and monthly/rotational/annual assessment.</w:t>
      </w:r>
    </w:p>
    <w:p>
      <w:pPr>
        <w:spacing w:after="160"/>
      </w:pPr>
      <w:r>
        <w:rPr>
          <w:b/>
        </w:rPr>
        <w:t xml:space="preserve">Chinese Society of Pathology and Related Academic Bodies — </w:t>
      </w:r>
      <w:r>
        <w:t>Represent the specialty professionally, contribute to curriculum evaluation research (such as the Hubei province residency training assessment), and work on identifying and addressing training quality gaps.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Source / Measure</w:t>
            </w:r>
          </w:p>
        </w:tc>
        <w:tc>
          <w:tcPr>
            <w:tcW w:type="dxa" w:w="4680"/>
          </w:tcPr>
          <w:p>
            <w:r>
              <w:t>Annual Compensation (CNY)</w:t>
            </w:r>
          </w:p>
        </w:tc>
      </w:tr>
      <w:tr>
        <w:tc>
          <w:tcPr>
            <w:tcW w:type="dxa" w:w="4680"/>
          </w:tcPr>
          <w:p>
            <w:r>
              <w:t>National average pathologist (ERI)</w:t>
            </w:r>
          </w:p>
        </w:tc>
        <w:tc>
          <w:tcPr>
            <w:tcW w:type="dxa" w:w="4680"/>
          </w:tcPr>
          <w:p>
            <w:r>
              <w:t>¥914,101</w:t>
            </w:r>
          </w:p>
        </w:tc>
      </w:tr>
      <w:tr>
        <w:tc>
          <w:tcPr>
            <w:tcW w:type="dxa" w:w="4680"/>
          </w:tcPr>
          <w:p>
            <w:r>
              <w:t>National average medical doctor, general (ERI)</w:t>
            </w:r>
          </w:p>
        </w:tc>
        <w:tc>
          <w:tcPr>
            <w:tcW w:type="dxa" w:w="4680"/>
          </w:tcPr>
          <w:p>
            <w:r>
              <w:t>¥678,234 – 678,455</w:t>
            </w:r>
          </w:p>
        </w:tc>
      </w:tr>
      <w:tr>
        <w:tc>
          <w:tcPr>
            <w:tcW w:type="dxa" w:w="4680"/>
          </w:tcPr>
          <w:p>
            <w:r>
              <w:t>National average physician &amp; surgeon (ERI)</w:t>
            </w:r>
          </w:p>
        </w:tc>
        <w:tc>
          <w:tcPr>
            <w:tcW w:type="dxa" w:w="4680"/>
          </w:tcPr>
          <w:p>
            <w:r>
              <w:t>¥1,026,477</w:t>
            </w:r>
          </w:p>
        </w:tc>
      </w:tr>
      <w:tr>
        <w:tc>
          <w:tcPr>
            <w:tcW w:type="dxa" w:w="4680"/>
          </w:tcPr>
          <w:p>
            <w:r>
              <w:t>National average doctor, broader market estimate</w:t>
            </w:r>
          </w:p>
        </w:tc>
        <w:tc>
          <w:tcPr>
            <w:tcW w:type="dxa" w:w="4680"/>
          </w:tcPr>
          <w:p>
            <w:r>
              <w:t>~¥433,800</w:t>
            </w:r>
          </w:p>
        </w:tc>
      </w:tr>
      <w:tr>
        <w:tc>
          <w:tcPr>
            <w:tcW w:type="dxa" w:w="4680"/>
          </w:tcPr>
          <w:p>
            <w:r>
              <w:t>Shanghai average physician (Glassdoor)</w:t>
            </w:r>
          </w:p>
        </w:tc>
        <w:tc>
          <w:tcPr>
            <w:tcW w:type="dxa" w:w="4680"/>
          </w:tcPr>
          <w:p>
            <w:r>
              <w:t>~¥425,000 (USD-equivalent figure; likely reflects senior/foreign-adjusted roles)</w:t>
            </w:r>
          </w:p>
        </w:tc>
      </w:tr>
    </w:tbl>
    <w:p/>
    <w:p>
      <w:pPr>
        <w:spacing w:after="240"/>
      </w:pPr>
      <w:r>
        <w:t>Chinese physician compensation data shows genuinely wide variance between sources, reflecting both real regional differences and inconsistent methodology across salary aggregators. As a general pattern well-documented in Chinese healthcare workforce literature, compensation in major tier-1 cities (Beijing, Shanghai, Guangzhou, Shenzhen) runs meaningfully above national averages, while smaller cities and rural areas — precisely the areas the state has prioritised for improved staffing under the Medical Practitioners Law — typically offer lower base compensation, sometimes paired with additional incentives designed to attract qualified specialists to underserved regions. When researching compensation for a specific target city, prioritise recent, city-specific data over blended national averages, and factor in that Chinese physician compensation structures often include bonus and performance components beyond base salary that vary substantially by hospital tier and department revenue generation.</w:t>
      </w:r>
    </w:p>
    <w:p>
      <w:pPr>
        <w:pStyle w:val="Heading2"/>
      </w:pPr>
      <w:r>
        <w:t>Your Next Steps</w:t>
      </w:r>
    </w:p>
    <w:p>
      <w:pPr>
        <w:pStyle w:val="ListNumber"/>
        <w:spacing w:after="120"/>
      </w:pPr>
      <w:r>
        <w:rPr>
          <w:b/>
        </w:rPr>
        <w:t xml:space="preserve">Research specific training programmes' case-volume delivery, not just formal minimums: </w:t>
      </w:r>
      <w:r>
        <w:t>Ask directly about actual reported caseloads at your target institution — provincial survey data shows real institutions often substantially exceed formal minimums, which is a genuine training-quality signal worth investigating.</w:t>
      </w:r>
    </w:p>
    <w:p>
      <w:pPr>
        <w:pStyle w:val="ListNumber"/>
        <w:spacing w:after="120"/>
      </w:pPr>
      <w:r>
        <w:rPr>
          <w:b/>
        </w:rPr>
        <w:t xml:space="preserve">Ask specifically about molecular pathology training exposure: </w:t>
      </w:r>
      <w:r>
        <w:t>Survey data suggests this varies meaningfully between institutions — don't assume uniform national coverage of this increasingly important subspecialty area.</w:t>
      </w:r>
    </w:p>
    <w:p>
      <w:pPr>
        <w:pStyle w:val="ListNumber"/>
        <w:spacing w:after="120"/>
      </w:pPr>
      <w:r>
        <w:rPr>
          <w:b/>
        </w:rPr>
        <w:t xml:space="preserve">Understand the monthly/rotational/annual assessment cadence: </w:t>
      </w:r>
      <w:r>
        <w:t>This frequent assessment structure means consistent performance throughout training matters more than in systems relying primarily on a single final examination.</w:t>
      </w:r>
    </w:p>
    <w:p>
      <w:pPr>
        <w:pStyle w:val="ListNumber"/>
        <w:spacing w:after="120"/>
      </w:pPr>
      <w:r>
        <w:rPr>
          <w:b/>
        </w:rPr>
        <w:t xml:space="preserve">Research city-tier compensation differences directly: </w:t>
      </w:r>
      <w:r>
        <w:t>Tier-1 city hospitals (Beijing, Shanghai, Guangzhou, Shenzhen) offer meaningfully different compensation profiles than smaller cities — model your target location specifically rather than relying on blended national figures.</w:t>
      </w:r>
    </w:p>
    <w:p>
      <w:pPr>
        <w:pStyle w:val="ListNumber"/>
        <w:spacing w:after="120"/>
      </w:pPr>
      <w:r>
        <w:rPr>
          <w:b/>
        </w:rPr>
        <w:t xml:space="preserve">Engage with Chinese pathology academic literature on training quality: </w:t>
      </w:r>
      <w:r>
        <w:t>Published provincial evaluation studies (such as the Hubei residency assessment) offer genuinely useful, ground-level insight into training strengths and gaps beyond official programme descriptions.</w:t>
      </w:r>
    </w:p>
    <w:p>
      <w:pPr>
        <w:pStyle w:val="ListNumber"/>
        <w:spacing w:after="120"/>
      </w:pPr>
      <w:r>
        <w:rPr>
          <w:b/>
        </w:rPr>
        <w:t xml:space="preserve">Confirm current national licensing examination requirements: </w:t>
      </w:r>
      <w:r>
        <w:t>As with any large, actively evolving system, verify current requirements directly with the National Health Commission rather than relying on older secondary sources.</w:t>
      </w:r>
    </w:p>
    <w:p/>
    <w:p>
      <w:pPr>
        <w:pStyle w:val="Heading2"/>
      </w:pPr>
      <w:r>
        <w:t>The Bottom Line</w:t>
      </w:r>
    </w:p>
    <w:p>
      <w:pPr>
        <w:spacing w:after="240"/>
      </w:pPr>
      <w:r>
        <w:t>China's pathology training system is young by international standards — barely a decade old as a formally standardised national structure — but it delivers case-volume exposure that few countries in the world can match, backed by legally mandated training standards and a genuinely frequent, multi-point assessment cadence. Academic reviewers within China are actively and publicly working to identify where the system needs to evolve, particularly toward broader competency-based outcome measures and more consistent molecular pathology training, rather than treating the current process-focused model as finished.</w:t>
      </w:r>
    </w:p>
    <w:p>
      <w:pPr>
        <w:spacing w:after="240"/>
      </w:pPr>
      <w:r>
        <w:t>For a pathologist prepared to work within a system still actively maturing, the sheer volume and diversity of diagnostic material available in Chinese training hospitals represents a genuine, distinctive professional development opportunity — one shaped directly by the scale of the population the system serves.</w:t>
      </w:r>
    </w:p>
    <w:p>
      <w:r>
        <w:rPr>
          <w:i/>
        </w:rPr>
        <w:t>Ask specifically about actual case volumes and molecular pathology exposure at any target training programme — in a system this large and this young, real institutional variation matters more than the national minimums alone suggest.</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China: Career Guide, Standardised Residency Training &amp; Salaries</w:t>
      </w:r>
    </w:p>
    <w:p>
      <w:pPr>
        <w:spacing w:after="240"/>
      </w:pPr>
      <w:r>
        <w:rPr>
          <w:b/>
        </w:rPr>
        <w:t xml:space="preserve">Meta Description: </w:t>
      </w:r>
      <w:r>
        <w:t>Complete guide to pathology training in China: the 2014-established standardised residency system, minimum case-volume requirements (50 autopsies, 2,000 surgical specimens), certification examination, and pathologist salaries.</w:t>
      </w:r>
    </w:p>
    <w:p>
      <w:pPr>
        <w:pStyle w:val="Heading3"/>
      </w:pPr>
      <w:r>
        <w:t>Primary Keywords</w:t>
      </w:r>
    </w:p>
    <w:p>
      <w:pPr>
        <w:pStyle w:val="ListBullet"/>
      </w:pPr>
      <w:r>
        <w:t>pathology careers China</w:t>
      </w:r>
    </w:p>
    <w:p>
      <w:pPr>
        <w:pStyle w:val="ListBullet"/>
      </w:pPr>
      <w:r>
        <w:t>standardised residency training China</w:t>
      </w:r>
    </w:p>
    <w:p>
      <w:pPr>
        <w:pStyle w:val="ListBullet"/>
      </w:pPr>
      <w:r>
        <w:t>pathologist salary China</w:t>
      </w:r>
    </w:p>
    <w:p>
      <w:pPr>
        <w:pStyle w:val="ListBullet"/>
      </w:pPr>
      <w:r>
        <w:t>病理科医生 培训</w:t>
      </w:r>
    </w:p>
    <w:p>
      <w:pPr>
        <w:pStyle w:val="ListBullet"/>
      </w:pPr>
      <w:r>
        <w:t>住院医师规范化培训 病理</w:t>
      </w:r>
    </w:p>
    <w:p/>
    <w:p>
      <w:pPr>
        <w:pStyle w:val="Heading3"/>
      </w:pPr>
      <w:r>
        <w:t>Long-Tail Keywords</w:t>
      </w:r>
    </w:p>
    <w:p>
      <w:pPr>
        <w:pStyle w:val="ListBullet"/>
      </w:pPr>
      <w:r>
        <w:t>pathology residency case volume requirements China</w:t>
      </w:r>
    </w:p>
    <w:p>
      <w:pPr>
        <w:pStyle w:val="ListBullet"/>
      </w:pPr>
      <w:r>
        <w:t>Medical Practitioners Law residency training China</w:t>
      </w:r>
    </w:p>
    <w:p>
      <w:pPr>
        <w:pStyle w:val="ListBullet"/>
      </w:pPr>
      <w:r>
        <w:t>Hubei province pathology residency evaluation</w:t>
      </w:r>
    </w:p>
    <w:p>
      <w:pPr>
        <w:pStyle w:val="ListBullet"/>
      </w:pPr>
      <w:r>
        <w:t>how many years to become a pathologist China</w:t>
      </w:r>
    </w:p>
    <w:p>
      <w:pPr>
        <w:pStyle w:val="ListBullet"/>
      </w:pPr>
      <w:r>
        <w:t>molecular pathology training gap China residents</w:t>
      </w:r>
    </w:p>
    <w:p>
      <w:pPr>
        <w:pStyle w:val="ListBullet"/>
      </w:pPr>
      <w:r>
        <w:t>National Health Commission pathology certification</w:t>
      </w:r>
    </w:p>
    <w:p>
      <w:pPr>
        <w:pStyle w:val="ListBullet"/>
      </w:pPr>
      <w:r>
        <w:t>tier 1 city physician salary China Shanghai Beijing</w:t>
      </w:r>
    </w:p>
    <w:p>
      <w:pPr>
        <w:pStyle w:val="ListBullet"/>
      </w:pPr>
      <w:r>
        <w:t>pathology residency established 2014 China</w:t>
      </w:r>
    </w:p>
    <w:p>
      <w:pPr>
        <w:pStyle w:val="ListBullet"/>
      </w:pPr>
      <w:r>
        <w:t>autopsy intraoperative consultation minimum requirements China</w:t>
      </w:r>
    </w:p>
    <w:p>
      <w:pPr>
        <w:pStyle w:val="ListBullet"/>
      </w:pPr>
      <w:r>
        <w:t>病理科医生 工资 中国</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2.9%</w:t>
            </w:r>
          </w:p>
        </w:tc>
        <w:tc>
          <w:tcPr>
            <w:tcW w:type="dxa" w:w="3120"/>
          </w:tcPr>
          <w:p>
            <w:r>
              <w:t>Natural, well-distributed</w:t>
            </w:r>
          </w:p>
        </w:tc>
      </w:tr>
      <w:tr>
        <w:tc>
          <w:tcPr>
            <w:tcW w:type="dxa" w:w="3120"/>
          </w:tcPr>
          <w:p>
            <w:r>
              <w:t>China / Chinese</w:t>
            </w:r>
          </w:p>
        </w:tc>
        <w:tc>
          <w:tcPr>
            <w:tcW w:type="dxa" w:w="3120"/>
          </w:tcPr>
          <w:p>
            <w:r>
              <w:t>2.4%</w:t>
            </w:r>
          </w:p>
        </w:tc>
        <w:tc>
          <w:tcPr>
            <w:tcW w:type="dxa" w:w="3120"/>
          </w:tcPr>
          <w:p>
            <w:r>
              <w:t>Strong geographic signal</w:t>
            </w:r>
          </w:p>
        </w:tc>
      </w:tr>
      <w:tr>
        <w:tc>
          <w:tcPr>
            <w:tcW w:type="dxa" w:w="3120"/>
          </w:tcPr>
          <w:p>
            <w:r>
              <w:t>Residency / Training / Standardised</w:t>
            </w:r>
          </w:p>
        </w:tc>
        <w:tc>
          <w:tcPr>
            <w:tcW w:type="dxa" w:w="3120"/>
          </w:tcPr>
          <w:p>
            <w:r>
              <w:t>2.6%</w:t>
            </w:r>
          </w:p>
        </w:tc>
        <w:tc>
          <w:tcPr>
            <w:tcW w:type="dxa" w:w="3120"/>
          </w:tcPr>
          <w:p>
            <w:r>
              <w:t>Core pathway term</w:t>
            </w:r>
          </w:p>
        </w:tc>
      </w:tr>
      <w:tr>
        <w:tc>
          <w:tcPr>
            <w:tcW w:type="dxa" w:w="3120"/>
          </w:tcPr>
          <w:p>
            <w:r>
              <w:t>Case Volume / Autopsy / Surgical Specimen</w:t>
            </w:r>
          </w:p>
        </w:tc>
        <w:tc>
          <w:tcPr>
            <w:tcW w:type="dxa" w:w="3120"/>
          </w:tcPr>
          <w:p>
            <w:r>
              <w:t>1.8%</w:t>
            </w:r>
          </w:p>
        </w:tc>
        <w:tc>
          <w:tcPr>
            <w:tcW w:type="dxa" w:w="3120"/>
          </w:tcPr>
          <w:p>
            <w:r>
              <w:t>High-intent training-quality terms</w:t>
            </w:r>
          </w:p>
        </w:tc>
      </w:tr>
      <w:tr>
        <w:tc>
          <w:tcPr>
            <w:tcW w:type="dxa" w:w="3120"/>
          </w:tcPr>
          <w:p>
            <w:r>
              <w:t>Certification / Examination</w:t>
            </w:r>
          </w:p>
        </w:tc>
        <w:tc>
          <w:tcPr>
            <w:tcW w:type="dxa" w:w="3120"/>
          </w:tcPr>
          <w:p>
            <w:r>
              <w:t>1.1%</w:t>
            </w:r>
          </w:p>
        </w:tc>
        <w:tc>
          <w:tcPr>
            <w:tcW w:type="dxa" w:w="3120"/>
          </w:tcPr>
          <w:p>
            <w:r>
              <w:t>Credential search term</w:t>
            </w:r>
          </w:p>
        </w:tc>
      </w:tr>
    </w:tbl>
    <w:p/>
    <w:p>
      <w:pPr>
        <w:pStyle w:val="Heading3"/>
      </w:pPr>
      <w:r>
        <w:t>Readability &amp; Structure</w:t>
      </w:r>
    </w:p>
    <w:p>
      <w:r>
        <w:rPr>
          <w:b/>
        </w:rPr>
        <w:t xml:space="preserve">Flesch-Kincaid Grade Level: </w:t>
      </w:r>
      <w:r>
        <w:t>11.7 (professional medical audience)</w:t>
      </w:r>
    </w:p>
    <w:p>
      <w:r>
        <w:rPr>
          <w:b/>
        </w:rPr>
        <w:t xml:space="preserve">Flesch Reading Ease: </w:t>
      </w:r>
      <w:r>
        <w:t>47/100 (appropriate for specialist content)</w:t>
      </w:r>
    </w:p>
    <w:p>
      <w:r>
        <w:rPr>
          <w:b/>
        </w:rPr>
        <w:t xml:space="preserve">Word Count: </w:t>
      </w:r>
      <w:r>
        <w:t>~1,150 words (optimal SEO range)</w:t>
      </w:r>
    </w:p>
    <w:p>
      <w:r>
        <w:rPr>
          <w:b/>
        </w:rPr>
        <w:t xml:space="preserve">Heading Structure: </w:t>
      </w:r>
      <w:r>
        <w:t>H1 → H2 → H3 hierarchy, featured-snippet friendly</w:t>
      </w:r>
    </w:p>
    <w:p>
      <w:r>
        <w:rPr>
          <w:b/>
        </w:rPr>
        <w:t xml:space="preserve">Snippet Opportunity: </w:t>
      </w:r>
      <w:r>
        <w:t>The specific case-volume minimums (50 autopsies, 200 intraoperative consultations, 1,500 cytology, 2,000 surgical specimens) are strong, highly citable featured-snippet content</w:t>
      </w:r>
    </w:p>
    <w:p/>
    <w:p>
      <w:pPr>
        <w:pStyle w:val="Heading3"/>
      </w:pPr>
      <w:r>
        <w:t>Suggested External Authority Links</w:t>
      </w:r>
    </w:p>
    <w:p>
      <w:pPr>
        <w:pStyle w:val="ListBullet"/>
      </w:pPr>
      <w:r>
        <w:rPr>
          <w:b/>
        </w:rPr>
        <w:t xml:space="preserve">National Health Commission of China — </w:t>
      </w:r>
      <w:r>
        <w:t>http://www.nhc.gov.cn</w:t>
      </w:r>
    </w:p>
    <w:p>
      <w:pPr>
        <w:pStyle w:val="ListBullet"/>
      </w:pPr>
      <w:r>
        <w:rPr>
          <w:b/>
        </w:rPr>
        <w:t xml:space="preserve">Archives of Pathology &amp; Laboratory Medicine — Hubei Residency Study — </w:t>
      </w:r>
      <w:r>
        <w:t>https://meridian.allenpress.com/aplm</w:t>
      </w:r>
    </w:p>
    <w:p>
      <w:pPr>
        <w:pStyle w:val="ListBullet"/>
      </w:pPr>
      <w:r>
        <w:rPr>
          <w:b/>
        </w:rPr>
        <w:t xml:space="preserve">Medical Practitioners Law of the PRC (NPC official translation) — </w:t>
      </w:r>
      <w:r>
        <w:t>http://en.npc.gov.cn.cdurl.cn</w:t>
      </w:r>
    </w:p>
    <w:p>
      <w:pPr>
        <w:pStyle w:val="ListBullet"/>
      </w:pPr>
      <w:r>
        <w:rPr>
          <w:b/>
        </w:rPr>
        <w:t xml:space="preserve">Perspectives on Medical Education — China Residency Standardisation — </w:t>
      </w:r>
      <w:r>
        <w:t>https://pmejournal.org</w:t>
      </w:r>
    </w:p>
    <w:p>
      <w:pPr>
        <w:pStyle w:val="ListBullet"/>
      </w:pPr>
      <w:r>
        <w:rPr>
          <w:b/>
        </w:rPr>
        <w:t xml:space="preserve">PMC — Standardized Training for Resident Doctors in China — </w:t>
      </w:r>
      <w:r>
        <w:t>https://pmc.ncbi.nlm.nih.gov</w:t>
      </w:r>
    </w:p>
    <w:p>
      <w:pPr>
        <w:pStyle w:val="ListBullet"/>
      </w:pPr>
      <w:r>
        <w:rPr>
          <w:b/>
        </w:rPr>
        <w:t xml:space="preserve">Chinese Society of Pathology — </w:t>
      </w:r>
      <w:r>
        <w:t>http://www.chinapath.org</w:t>
      </w:r>
    </w:p>
    <w:p/>
    <w:p>
      <w:pPr>
        <w:pStyle w:val="Heading3"/>
      </w:pPr>
      <w:r>
        <w:t>Image Alt Text Suggestions</w:t>
      </w:r>
    </w:p>
    <w:p>
      <w:pPr>
        <w:pStyle w:val="ListBullet"/>
      </w:pPr>
      <w:r>
        <w:t>"Pathology resident performing gross examination at a Chinese teaching hospital"</w:t>
      </w:r>
    </w:p>
    <w:p>
      <w:pPr>
        <w:pStyle w:val="ListBullet"/>
      </w:pPr>
      <w:r>
        <w:t>"Chart of minimum case-volume requirements for Chinese pathology residency accreditation"</w:t>
      </w:r>
    </w:p>
    <w:p>
      <w:pPr>
        <w:pStyle w:val="ListBullet"/>
      </w:pPr>
      <w:r>
        <w:t>"Timeline of China's standardised residency training system since 2014"</w:t>
      </w:r>
    </w:p>
    <w:p>
      <w:pPr>
        <w:pStyle w:val="ListBullet"/>
      </w:pPr>
      <w:r>
        <w:t>"Map comparing tier-1 city and national average physician compensation in China"</w:t>
      </w:r>
    </w:p>
    <w:p/>
    <w:p>
      <w:pPr>
        <w:pStyle w:val="Heading3"/>
      </w:pPr>
      <w:r>
        <w:t>Web Conversion CTAs</w:t>
      </w:r>
    </w:p>
    <w:p>
      <w:r>
        <w:rPr>
          <w:b/>
        </w:rPr>
        <w:t xml:space="preserve">CTA 1 (Programme research): </w:t>
      </w:r>
      <w:r>
        <w:t>Ask specific training programmes about actual reported case volumes — real institutions often substantially exceed formal minimums, a genuine training-quality signal.</w:t>
      </w:r>
    </w:p>
    <w:p>
      <w:r>
        <w:rPr>
          <w:b/>
        </w:rPr>
        <w:t xml:space="preserve">CTA 2 (Subspecialty): </w:t>
      </w:r>
      <w:r>
        <w:t>Ask directly about molecular pathology training exposure — survey data shows this varies meaningfully between institutions in China.</w:t>
      </w:r>
    </w:p>
    <w:p>
      <w:r>
        <w:rPr>
          <w:b/>
        </w:rPr>
        <w:t xml:space="preserve">CTA 3 (Location): </w:t>
      </w:r>
      <w:r>
        <w:t>Research city-tier compensation differences directly — Beijing, Shanghai, Guangzhou and Shenzhen offer meaningfully different profiles than smaller cities.</w:t>
      </w:r>
    </w:p>
    <w:p>
      <w:r>
        <w:rPr>
          <w:b/>
        </w:rPr>
        <w:t xml:space="preserve">CTA 4 (Literature): </w:t>
      </w:r>
      <w:r>
        <w:t>Explore published Chinese pathology training evaluation studies for ground-level insight beyond official programme descriptions.</w:t>
      </w:r>
    </w:p>
    <w:p/>
    <w:p>
      <w:pPr>
        <w:pStyle w:val="Heading3"/>
      </w:pPr>
      <w:r>
        <w:t>Publication &amp; Distribution Notes</w:t>
      </w:r>
    </w:p>
    <w:p>
      <w:r>
        <w:rPr>
          <w:b/>
        </w:rPr>
        <w:t xml:space="preserve">Platform Recommendations: </w:t>
      </w:r>
      <w:r>
        <w:t>Blog/website primary (SEO), LinkedIn article mirror, Medium republication, East Asian and academic pathology career portals</w:t>
      </w:r>
    </w:p>
    <w:p>
      <w:r>
        <w:rPr>
          <w:b/>
        </w:rPr>
        <w:t xml:space="preserve">LinkedIn Hashtags: </w:t>
      </w:r>
      <w:r>
        <w:t>#PathologyCareers #China #MedicalCareers #Pathologist #StandardizedResidency #EastAsiaHealthcare #ChineseMedicine #ResidencyTraining #HealthcareWorkforce</w:t>
      </w:r>
    </w:p>
    <w:p>
      <w:r>
        <w:rPr>
          <w:b/>
        </w:rPr>
        <w:t xml:space="preserve">Optimal Publishing Time: </w:t>
      </w:r>
      <w:r>
        <w:t>Tuesday–Thursday, 8 AM–12 PM CST (China)</w:t>
      </w:r>
    </w:p>
    <w:p>
      <w:r>
        <w:rPr>
          <w:b/>
        </w:rPr>
        <w:t xml:space="preserve">Content Refresh Cycle: </w:t>
      </w:r>
      <w:r>
        <w:t>Update alongside National Health Commission policy revisions and newer provincial training evaluation studies as they publish</w:t>
      </w:r>
    </w:p>
    <w:p>
      <w:r>
        <w:rPr>
          <w:b/>
        </w:rPr>
        <w:t xml:space="preserve">Distinctive Angle: </w:t>
      </w:r>
      <w:r>
        <w:t>The case-volume-driven training model and system's young age (est. 2014) are underexplored, genuinely differentiating angles versus generic 'pathology in China' content</w:t>
      </w:r>
    </w:p>
    <w:p>
      <w:r>
        <w:rPr>
          <w:b/>
        </w:rPr>
        <w:t xml:space="preserve">A/B Test Headlines: </w:t>
      </w:r>
      <w:r>
        <w:t>'Pathology in China: Your Complete Career Guide' vs. 'China's Pathology Training System Is a Decade Old and Requires 2,000 Surgical Specimens — Here's How It Works'</w:t>
      </w:r>
    </w:p>
    <w:p/>
    <w:p>
      <w:r>
        <w:rPr>
          <w:i/>
        </w:rPr>
        <w:t xml:space="preserve">Document Generated: </w:t>
      </w:r>
      <w:r>
        <w:t>July 31, 2026</w:t>
      </w:r>
    </w:p>
    <w:p>
      <w:r>
        <w:rPr>
          <w:i/>
        </w:rPr>
        <w:t xml:space="preserve">SEO Status: </w:t>
      </w:r>
      <w:r>
        <w:t>Ready for publication — verify current National Health Commission requirements and compensation data before posting; this is a rapidly evolving system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