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Colombia: Your Complete Career Guide to Latin America's Most Open Training System</w:t>
      </w:r>
    </w:p>
    <w:p>
      <w:pPr>
        <w:jc w:val="center"/>
      </w:pPr>
      <w:r>
        <w:rPr>
          <w:i/>
          <w:color w:val="666666"/>
          <w:sz w:val="26"/>
        </w:rPr>
        <w:t>University Residency, RETHUS Registration, Convalidación &amp; Compensation</w:t>
      </w:r>
    </w:p>
    <w:p>
      <w:pPr>
        <w:jc w:val="center"/>
      </w:pPr>
      <w:r>
        <w:rPr>
          <w:i/>
          <w:color w:val="969696"/>
          <w:sz w:val="20"/>
        </w:rPr>
        <w:t>Last Updated: July 31, 2026</w:t>
      </w:r>
    </w:p>
    <w:p/>
    <w:p>
      <w:pPr>
        <w:pStyle w:val="Heading1"/>
      </w:pPr>
      <w:r>
        <w:t>No Nationality Restriction, No Age Limit — And Genuine Regional Draw</w:t>
      </w:r>
    </w:p>
    <w:p>
      <w:pPr>
        <w:spacing w:after="240"/>
      </w:pPr>
      <w:r>
        <w:t>Colombia occupies a genuinely distinctive position in Latin American medical training: it places no nationality restriction on applications to medical residency programmes, and no legal age limit on applying. Doctors from Venezuela, Ecuador, Peru, Argentina, the Dominican Republic, Mexico, Bolivia and Spain, among others, apply to Colombian university programmes every year. The fundamental requirements are a medical degree formally validated (convalidado) by Colombia's Ministry of National Education, and registration in RETHUS, the national health human resources registry.</w:t>
      </w:r>
    </w:p>
    <w:p>
      <w:pPr>
        <w:spacing w:after="240"/>
      </w:pPr>
      <w:r>
        <w:t>That openness, combined with internationally recognised programmes, comparatively accessible training costs, and intensive clinical training in genuinely high-volume hospitals, has made Colombia one of the most attractive specialisation destinations in the region — and for pathology specifically, the country has deep institutional history to match, with the University of Antioquia's Department of Pathology having trained specialists continuously since 1955.</w:t>
      </w:r>
    </w:p>
    <w:p>
      <w:pPr>
        <w:pStyle w:val="Heading2"/>
      </w:pPr>
      <w:r>
        <w:t>Why Choose Colombia for Your Pathology Career?</w:t>
      </w:r>
    </w:p>
    <w:p>
      <w:pPr>
        <w:pStyle w:val="ListBullet"/>
        <w:spacing w:after="120"/>
      </w:pPr>
      <w:r>
        <w:rPr>
          <w:b/>
        </w:rPr>
        <w:t xml:space="preserve">Genuinely Open to International Applicants: </w:t>
      </w:r>
      <w:r>
        <w:t>Colombia imposes no nationality restriction on residency applications and no legal age limit — a genuinely unusual combination that makes it one of Latin America's most accessible specialisation destinations for regional and international doctors alike.</w:t>
      </w:r>
    </w:p>
    <w:p>
      <w:pPr>
        <w:pStyle w:val="ListBullet"/>
        <w:spacing w:after="120"/>
      </w:pPr>
      <w:r>
        <w:rPr>
          <w:b/>
        </w:rPr>
        <w:t xml:space="preserve">Deep Institutional Pathology History: </w:t>
      </w:r>
      <w:r>
        <w:t>The University of Antioquia's Department of Pathology has trained specialists since 1955 — over 68 years, producing 117 pathologists from Colombia and across Latin America, performing around 15,000 autopsies and studying approximately 650,000 surgical specimens.</w:t>
      </w:r>
    </w:p>
    <w:p>
      <w:pPr>
        <w:pStyle w:val="ListBullet"/>
        <w:spacing w:after="120"/>
      </w:pPr>
      <w:r>
        <w:rPr>
          <w:b/>
        </w:rPr>
        <w:t xml:space="preserve">Modern Diagnostic Infrastructure: </w:t>
      </w:r>
      <w:r>
        <w:t>Leading departments maintain their own immunohistochemistry laboratories and perform molecular in-situ hybridisation testing, with newer programmes explicitly integrating molecular and genomic techniques alongside traditional anatomopathological methodology.</w:t>
      </w:r>
    </w:p>
    <w:p>
      <w:pPr>
        <w:pStyle w:val="ListBullet"/>
        <w:spacing w:after="120"/>
      </w:pPr>
      <w:r>
        <w:rPr>
          <w:b/>
        </w:rPr>
        <w:t xml:space="preserve">Over 30 Universities Offering Residency Programmes: </w:t>
      </w:r>
      <w:r>
        <w:t>Colombia has more than 30 universities running medical specialisation programmes — both public and private — including Universidad de Antioquia, Universidad Nacional, Javeriana, Universidad de los Andes, Universidad del Rosario, La Sabana and FUCS, giving genuine choice of institutional culture and geography.</w:t>
      </w:r>
    </w:p>
    <w:p>
      <w:pPr>
        <w:pStyle w:val="ListBullet"/>
        <w:spacing w:after="120"/>
      </w:pPr>
      <w:r>
        <w:rPr>
          <w:b/>
        </w:rPr>
        <w:t xml:space="preserve">A Legally Guaranteed Resident Stipend: </w:t>
      </w:r>
      <w:r>
        <w:t>Since Ley 1917 of 2018, Colombian residents have a legal right to a sustaining support payment (apoyo de sostenimiento) — with the regulated minimum reported around COP 2,343,726 monthly — though implementation has been gradual and varies by university, so confirm directly with each programme.</w:t>
      </w:r>
    </w:p>
    <w:p>
      <w:pPr>
        <w:pStyle w:val="ListBullet"/>
        <w:spacing w:after="120"/>
      </w:pPr>
      <w:r>
        <w:rPr>
          <w:b/>
        </w:rPr>
        <w:t xml:space="preserve">Broad, Interdisciplinary Curriculum Design: </w:t>
      </w:r>
      <w:r>
        <w:t>Modern programmes explicitly incorporate non-clinical competencies through mandatory elective coursework in public health, epidemiology or clinical management, alongside interdisciplinary curriculum design and formal ethics and professionalism training.</w:t>
      </w:r>
    </w:p>
    <w:p/>
    <w:p>
      <w:pPr>
        <w:pStyle w:val="Heading2"/>
      </w:pPr>
      <w:r>
        <w:t>Your Step-by-Step Pathway to Practising Pathology in Colombia</w:t>
      </w:r>
    </w:p>
    <w:p>
      <w:pPr>
        <w:pStyle w:val="Heading3"/>
      </w:pPr>
      <w:r>
        <w:t>Stage 1: Medical Degree, Servicio Social and (For IMGs) Convalidación</w:t>
      </w:r>
    </w:p>
    <w:p>
      <w:pPr>
        <w:spacing w:after="240"/>
      </w:pPr>
      <w:r>
        <w:t>Colombian graduates complete their medical degree followed by the compulsory servicio social obligatorio (mandatory social service period). International medical graduates must have their degree formally validated (convalidado) by Colombia's Ministry of National Education and be registered in RETHUS (Registro Único Nacional del Talento Humano en Salud) — these two steps are the fundamental gateway for any foreign-trained doctor seeking Colombian residency.</w:t>
      </w:r>
    </w:p>
    <w:p>
      <w:pPr>
        <w:pStyle w:val="Heading3"/>
      </w:pPr>
      <w:r>
        <w:t>Stage 2: Building Clinical Experience Before Applying</w:t>
      </w:r>
    </w:p>
    <w:p>
      <w:pPr>
        <w:spacing w:after="240"/>
      </w:pPr>
      <w:r>
        <w:t>While not legally mandated, it is strongly recommended to accumulate at least one year of clinical experience after servicio social before applying. This strengthens your profile with universities, gives you a firmer clinical foundation for both the admission examination and residency itself, and — practically — allows you to save toward residency costs. Many Colombian doctors work in emergency medicine, inpatient care or outpatient clinics for one or two years before applying.</w:t>
      </w:r>
    </w:p>
    <w:p>
      <w:pPr>
        <w:pStyle w:val="Heading3"/>
      </w:pPr>
      <w:r>
        <w:t>Stage 3: The University Admission Process</w:t>
      </w:r>
    </w:p>
    <w:p>
      <w:pPr>
        <w:spacing w:after="160"/>
      </w:pPr>
      <w:r>
        <w:t>Colombia has no single national residency matching examination — each university runs its own admission process (convocatoria). The general sequence is:</w:t>
      </w:r>
    </w:p>
    <w:p>
      <w:pPr>
        <w:pStyle w:val="ListBullet"/>
        <w:ind w:left="720"/>
      </w:pPr>
      <w:r>
        <w:t>Register for your chosen university's convocatoria and upload required documentation</w:t>
      </w:r>
    </w:p>
    <w:p>
      <w:pPr>
        <w:pStyle w:val="ListBullet"/>
        <w:ind w:left="720"/>
      </w:pPr>
      <w:r>
        <w:t>Sit the written admission examination — covering basic sciences, clinical knowledge and case analysis, with format varying by institution</w:t>
      </w:r>
    </w:p>
    <w:p>
      <w:pPr>
        <w:pStyle w:val="ListBullet"/>
        <w:ind w:left="720"/>
      </w:pPr>
      <w:r>
        <w:t>Some universities additionally conduct a personal interview or CV/portfolio evaluation</w:t>
      </w:r>
    </w:p>
    <w:p>
      <w:pPr>
        <w:pStyle w:val="ListBullet"/>
        <w:ind w:left="720"/>
      </w:pPr>
      <w:r>
        <w:t>If successful across all filters, you obtain your place (cupo) and begin residency training</w:t>
      </w:r>
    </w:p>
    <w:p/>
    <w:p>
      <w:pPr>
        <w:spacing w:after="240"/>
      </w:pPr>
      <w:r>
        <w:t>Because each institution sets its own examination format and cut-off scores, targeted preparation for your specific target universities matters more in Colombia than in countries running a single centralised national exam.</w:t>
      </w:r>
    </w:p>
    <w:p>
      <w:pPr>
        <w:pStyle w:val="Heading3"/>
      </w:pPr>
      <w:r>
        <w:t>Stage 4: Pathology Residency</w:t>
      </w:r>
    </w:p>
    <w:p>
      <w:pPr>
        <w:spacing w:after="160"/>
      </w:pPr>
      <w:r>
        <w:t>Colombian medical residencies generally run 3 to 5 years depending on specialty. Pathology programmes are commonly structured over 4 years — Universidad de los Andes, for example, explicitly describes a four-year programme designed to build core pathologist competencies through both traditional anatomopathological methodology and newer molecular and genomic techniques, always integrated with careful clinicopathological analysis contributing to patient management decisions.</w:t>
      </w:r>
    </w:p>
    <w:p>
      <w:pPr>
        <w:spacing w:after="160"/>
      </w:pPr>
      <w:r>
        <w:t>Training combines clinical rotations, hospital on-call duties and research. A notable feature of Colombian pathology training culture: senior residents formally teach junior residents, and residents also participate in delivering some undergraduate teaching — building educational capability directly into specialist training.</w:t>
      </w:r>
    </w:p>
    <w:p>
      <w:pPr>
        <w:spacing w:after="240"/>
      </w:pPr>
      <w:r>
        <w:t>On completion, graduates hold a specialist title recognised by the Ministry of National Education and may practise independently in their field.</w:t>
      </w:r>
    </w:p>
    <w:p>
      <w:pPr>
        <w:pStyle w:val="Heading2"/>
      </w:pPr>
      <w:r>
        <w:t>A Note on Subspecialisation</w:t>
      </w:r>
    </w:p>
    <w:p>
      <w:pPr>
        <w:spacing w:after="240"/>
      </w:pPr>
      <w:r>
        <w:t>Worth knowing before planning a Colombian pathology career: as of recent reporting, dermatopathology is the only formally recognised pathology subspecialty available within Colombia itself — unlike many countries offering organ- or system-based subspecialty tracks. Pathologists seeking other subspecialty training (haematopathology, neuropathology, molecular pathology and similar) have historically pursued this abroad, though leading departments do maintain staff with both formal and informal subspecialty training across various pathology areas.</w:t>
      </w:r>
    </w:p>
    <w:p>
      <w:pPr>
        <w:pStyle w:val="Heading2"/>
      </w:pPr>
      <w:r>
        <w:t>Total Timeline</w:t>
      </w:r>
    </w:p>
    <w:p>
      <w:r>
        <w:rPr>
          <w:b/>
        </w:rPr>
        <w:t xml:space="preserve">Standard pathway: </w:t>
      </w:r>
      <w:r>
        <w:t>Medical degree + servicio social obligatorio + (recommended) 1–2 years clinical experience + university admission examination + approximately 4 years pathology residency = specialist title recognised by the Ministry of National Education</w:t>
      </w:r>
    </w:p>
    <w:p>
      <w:r>
        <w:rPr>
          <w:b/>
        </w:rPr>
        <w:t xml:space="preserve">International medical graduates additionally require: </w:t>
      </w:r>
      <w:r>
        <w:t>Ministry of National Education degree convalidación and RETHUS registration before applying</w:t>
      </w:r>
    </w:p>
    <w:p/>
    <w:p>
      <w:pPr>
        <w:pStyle w:val="Heading2"/>
      </w:pPr>
      <w:r>
        <w:t>The Bodies That Govern Your Career</w:t>
      </w:r>
    </w:p>
    <w:p>
      <w:pPr>
        <w:spacing w:after="160"/>
      </w:pPr>
      <w:r>
        <w:rPr>
          <w:b/>
        </w:rPr>
        <w:t xml:space="preserve">Ministerio de Educación Nacional — </w:t>
      </w:r>
      <w:r>
        <w:t>Recognises specialist titles nationally and administers the convalidación process for foreign medical degrees — the essential gateway for international applicants.</w:t>
      </w:r>
    </w:p>
    <w:p>
      <w:pPr>
        <w:spacing w:after="160"/>
      </w:pPr>
      <w:r>
        <w:rPr>
          <w:b/>
        </w:rPr>
        <w:t xml:space="preserve">RETHUS (Registro Único Nacional del Talento Humano en Salud) — </w:t>
      </w:r>
      <w:r>
        <w:t>The national health workforce registry — registration is a fundamental requirement for practising and for residency application in Colombia.</w:t>
      </w:r>
    </w:p>
    <w:p>
      <w:pPr>
        <w:spacing w:after="160"/>
      </w:pPr>
      <w:r>
        <w:rPr>
          <w:b/>
        </w:rPr>
        <w:t xml:space="preserve">Individual Universities (30+ nationally) — </w:t>
      </w:r>
      <w:r>
        <w:t>Each sets its own residency admission process, examination format, cut-off scores and programme structure — there is no single centralised national residency match.</w:t>
      </w:r>
    </w:p>
    <w:p>
      <w:pPr>
        <w:spacing w:after="160"/>
      </w:pPr>
      <w:r>
        <w:rPr>
          <w:b/>
        </w:rPr>
        <w:t xml:space="preserve">Ministerio de Salud y Protección Social — </w:t>
      </w:r>
      <w:r>
        <w:t>Oversees the health system and has created financing programmes for high-need specialties in exchange for years of rural service — worth investigating for those open to rural placement.</w:t>
      </w:r>
    </w:p>
    <w:p>
      <w:pPr>
        <w:spacing w:after="160"/>
      </w:pPr>
      <w:r>
        <w:rPr>
          <w:b/>
        </w:rPr>
        <w:t xml:space="preserve">ICETEX — </w:t>
      </w:r>
      <w:r>
        <w:t>Offers dedicated credit lines for medical specialisation financing, alongside partial merit scholarships available at some universities.</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Monthly Compensation (COP)</w:t>
            </w:r>
          </w:p>
        </w:tc>
      </w:tr>
      <w:tr>
        <w:tc>
          <w:tcPr>
            <w:tcW w:type="dxa" w:w="4680"/>
          </w:tcPr>
          <w:p>
            <w:r>
              <w:t>Resident (legally regulated minimum, Ley 1917/2018)</w:t>
            </w:r>
          </w:p>
        </w:tc>
        <w:tc>
          <w:tcPr>
            <w:tcW w:type="dxa" w:w="4680"/>
          </w:tcPr>
          <w:p>
            <w:r>
              <w:t>~2,343,726</w:t>
            </w:r>
          </w:p>
        </w:tc>
      </w:tr>
      <w:tr>
        <w:tc>
          <w:tcPr>
            <w:tcW w:type="dxa" w:w="4680"/>
          </w:tcPr>
          <w:p>
            <w:r>
              <w:t>Newly graduated general practitioner</w:t>
            </w:r>
          </w:p>
        </w:tc>
        <w:tc>
          <w:tcPr>
            <w:tcW w:type="dxa" w:w="4680"/>
          </w:tcPr>
          <w:p>
            <w:r>
              <w:t>~3,000,000</w:t>
            </w:r>
          </w:p>
        </w:tc>
      </w:tr>
      <w:tr>
        <w:tc>
          <w:tcPr>
            <w:tcW w:type="dxa" w:w="4680"/>
          </w:tcPr>
          <w:p>
            <w:r>
              <w:t>General practitioner, typical range</w:t>
            </w:r>
          </w:p>
        </w:tc>
        <w:tc>
          <w:tcPr>
            <w:tcW w:type="dxa" w:w="4680"/>
          </w:tcPr>
          <w:p>
            <w:r>
              <w:t>3,000,000 – 5,000,000</w:t>
            </w:r>
          </w:p>
        </w:tc>
      </w:tr>
      <w:tr>
        <w:tc>
          <w:tcPr>
            <w:tcW w:type="dxa" w:w="4680"/>
          </w:tcPr>
          <w:p>
            <w:r>
              <w:t>Medical specialist, average (Computrabajo)</w:t>
            </w:r>
          </w:p>
        </w:tc>
        <w:tc>
          <w:tcPr>
            <w:tcW w:type="dxa" w:w="4680"/>
          </w:tcPr>
          <w:p>
            <w:r>
              <w:t>~5,494,980</w:t>
            </w:r>
          </w:p>
        </w:tc>
      </w:tr>
      <w:tr>
        <w:tc>
          <w:tcPr>
            <w:tcW w:type="dxa" w:w="4680"/>
          </w:tcPr>
          <w:p>
            <w:r>
              <w:t>Medical specialist, starting range (WageIndicator net)</w:t>
            </w:r>
          </w:p>
        </w:tc>
        <w:tc>
          <w:tcPr>
            <w:tcW w:type="dxa" w:w="4680"/>
          </w:tcPr>
          <w:p>
            <w:r>
              <w:t>4,569,781 – 12,280,792</w:t>
            </w:r>
          </w:p>
        </w:tc>
      </w:tr>
      <w:tr>
        <w:tc>
          <w:tcPr>
            <w:tcW w:type="dxa" w:w="4680"/>
          </w:tcPr>
          <w:p>
            <w:r>
              <w:t>Medical specialist after 5 years (WageIndicator net)</w:t>
            </w:r>
          </w:p>
        </w:tc>
        <w:tc>
          <w:tcPr>
            <w:tcW w:type="dxa" w:w="4680"/>
          </w:tcPr>
          <w:p>
            <w:r>
              <w:t>6,285,241 – 19,385,408</w:t>
            </w:r>
          </w:p>
        </w:tc>
      </w:tr>
      <w:tr>
        <w:tc>
          <w:tcPr>
            <w:tcW w:type="dxa" w:w="4680"/>
          </w:tcPr>
          <w:p>
            <w:r>
              <w:t>Specialist, commonly cited threshold</w:t>
            </w:r>
          </w:p>
        </w:tc>
        <w:tc>
          <w:tcPr>
            <w:tcW w:type="dxa" w:w="4680"/>
          </w:tcPr>
          <w:p>
            <w:r>
              <w:t>can exceed 10,000,000</w:t>
            </w:r>
          </w:p>
        </w:tc>
      </w:tr>
    </w:tbl>
    <w:p/>
    <w:p>
      <w:pPr>
        <w:spacing w:after="240"/>
      </w:pPr>
      <w:r>
        <w:t>Two structural points matter for interpreting these figures. First, Colombian specialist compensation varies enormously by specialty — published rankings put ophthalmology and general surgery at the top (reportedly reaching COP 30 million and 20 million monthly respectively), with pathology, as a non-procedural diagnostic specialty, generally sitting in the middle bands rather than at either extreme. Second, contract type materially affects take-home pay: contratos por honorarios (fee-based contracts) typically show higher gross figures but exclude social benefits, while payroll employment (nómina) deducts social security contributions but guarantees benefits including severance provisions. Bogotá, Medellín and Cali command meaningfully higher salaries than rural areas, though rural postings may offer additional recruitment incentives.</w:t>
      </w:r>
    </w:p>
    <w:p>
      <w:pPr>
        <w:pStyle w:val="Heading2"/>
      </w:pPr>
      <w:r>
        <w:t>Your Next Steps</w:t>
      </w:r>
    </w:p>
    <w:p>
      <w:pPr>
        <w:pStyle w:val="ListNumber"/>
        <w:spacing w:after="120"/>
      </w:pPr>
      <w:r>
        <w:rPr>
          <w:b/>
        </w:rPr>
        <w:t xml:space="preserve">International applicants: start convalidación and RETHUS registration early: </w:t>
      </w:r>
      <w:r>
        <w:t>These two steps are the fundamental gateway to Colombian residency for any foreign-trained doctor — begin well ahead of application deadlines.</w:t>
      </w:r>
    </w:p>
    <w:p>
      <w:pPr>
        <w:pStyle w:val="ListNumber"/>
        <w:spacing w:after="120"/>
      </w:pPr>
      <w:r>
        <w:rPr>
          <w:b/>
        </w:rPr>
        <w:t xml:space="preserve">Target specific universities and prepare for their specific examination format: </w:t>
      </w:r>
      <w:r>
        <w:t>With no centralised national match, each institution's admission examination differs — targeted preparation for your specific target programmes is genuinely necessary.</w:t>
      </w:r>
    </w:p>
    <w:p>
      <w:pPr>
        <w:pStyle w:val="ListNumber"/>
        <w:spacing w:after="120"/>
      </w:pPr>
      <w:r>
        <w:rPr>
          <w:b/>
        </w:rPr>
        <w:t xml:space="preserve">Build clinical experience before applying: </w:t>
      </w:r>
      <w:r>
        <w:t>One to two years of post-servicio-social clinical work strengthens your application, improves your examination readiness, and helps you save toward residency costs.</w:t>
      </w:r>
    </w:p>
    <w:p>
      <w:pPr>
        <w:pStyle w:val="ListNumber"/>
        <w:spacing w:after="120"/>
      </w:pPr>
      <w:r>
        <w:rPr>
          <w:b/>
        </w:rPr>
        <w:t xml:space="preserve">Investigate each programme's molecular and immunohistochemistry capability: </w:t>
      </w:r>
      <w:r>
        <w:t>Leading departments maintain their own IHC laboratories and molecular testing — this varies meaningfully between institutions and directly affects training quality.</w:t>
      </w:r>
    </w:p>
    <w:p>
      <w:pPr>
        <w:pStyle w:val="ListNumber"/>
        <w:spacing w:after="120"/>
      </w:pPr>
      <w:r>
        <w:rPr>
          <w:b/>
        </w:rPr>
        <w:t xml:space="preserve">Confirm the resident stipend arrangement with each specific programme: </w:t>
      </w:r>
      <w:r>
        <w:t>Ley 1917/2018 guarantees a sustaining support payment, but implementation has been gradual and varies by university — ask directly rather than assuming.</w:t>
      </w:r>
    </w:p>
    <w:p>
      <w:pPr>
        <w:pStyle w:val="ListNumber"/>
        <w:spacing w:after="120"/>
      </w:pPr>
      <w:r>
        <w:rPr>
          <w:b/>
        </w:rPr>
        <w:t xml:space="preserve">Plan for subspecialisation abroad if you want a track other than dermatopathology: </w:t>
      </w:r>
      <w:r>
        <w:t>Dermatopathology is currently the only formally recognised pathology subspecialty within Colombia — factor international options into longer-term career planning.</w:t>
      </w:r>
    </w:p>
    <w:p>
      <w:pPr>
        <w:pStyle w:val="ListNumber"/>
        <w:spacing w:after="120"/>
      </w:pPr>
      <w:r>
        <w:rPr>
          <w:b/>
        </w:rPr>
        <w:t xml:space="preserve">Explore ICETEX credit lines and Ministry of Health rural-service financing: </w:t>
      </w:r>
      <w:r>
        <w:t>Both offer genuine routes to funding specialisation costs, with the Ministry programme exchanging financing for defined rural service commitments.</w:t>
      </w:r>
    </w:p>
    <w:p/>
    <w:p>
      <w:pPr>
        <w:pStyle w:val="Heading2"/>
      </w:pPr>
      <w:r>
        <w:t>The Bottom Line</w:t>
      </w:r>
    </w:p>
    <w:p>
      <w:pPr>
        <w:spacing w:after="240"/>
      </w:pPr>
      <w:r>
        <w:t>Colombia is genuinely one of Latin America's most accessible specialisation destinations — no nationality restriction, no legal age limit, over 30 universities running residency programmes, comparatively accessible costs, and intensive clinical training in high-volume hospitals. For pathology specifically, the country combines deep institutional history (Antioquia training specialists since 1955) with modern molecular and immunohistochemistry capability at leading departments.</w:t>
      </w:r>
    </w:p>
    <w:p>
      <w:pPr>
        <w:spacing w:after="240"/>
      </w:pPr>
      <w:r>
        <w:t>The main structural limitation to plan around is subspecialisation: with dermatopathology currently the only formally recognised pathology subspecialty domestically, those seeking deeper organ- or system-specific expertise should factor international fellowship options into their longer-term planning from the outset.</w:t>
      </w:r>
    </w:p>
    <w:p>
      <w:r>
        <w:rPr>
          <w:i/>
        </w:rPr>
        <w:t>If you are internationally trained, start convalidación and RETHUS registration now — and choose your target universities early, because with no centralised national match, preparing for the right specific examination matters enormously in Colombia.</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Colombia: Career Guide, Residency Admission, RETHUS &amp; Salaries</w:t>
      </w:r>
    </w:p>
    <w:p>
      <w:pPr>
        <w:spacing w:after="240"/>
      </w:pPr>
      <w:r>
        <w:rPr>
          <w:b/>
        </w:rPr>
        <w:t xml:space="preserve">Meta Description: </w:t>
      </w:r>
      <w:r>
        <w:t>Complete guide to becoming a pathologist in Colombia: university residency admission with no nationality or age restrictions, convalidación and RETHUS registration for IMGs, 4-year pathology programmes, and specialist salaries above COP 10 million monthly.</w:t>
      </w:r>
    </w:p>
    <w:p>
      <w:pPr>
        <w:pStyle w:val="Heading3"/>
      </w:pPr>
      <w:r>
        <w:t>Primary Keywords</w:t>
      </w:r>
    </w:p>
    <w:p>
      <w:pPr>
        <w:pStyle w:val="ListBullet"/>
      </w:pPr>
      <w:r>
        <w:t>pathology careers Colombia</w:t>
      </w:r>
    </w:p>
    <w:p>
      <w:pPr>
        <w:pStyle w:val="ListBullet"/>
      </w:pPr>
      <w:r>
        <w:t>especialización patología Colombia</w:t>
      </w:r>
    </w:p>
    <w:p>
      <w:pPr>
        <w:pStyle w:val="ListBullet"/>
      </w:pPr>
      <w:r>
        <w:t>pathologist salary Colombia</w:t>
      </w:r>
    </w:p>
    <w:p>
      <w:pPr>
        <w:pStyle w:val="ListBullet"/>
      </w:pPr>
      <w:r>
        <w:t>residencia médica Colombia extranjeros</w:t>
      </w:r>
    </w:p>
    <w:p>
      <w:pPr>
        <w:pStyle w:val="ListBullet"/>
      </w:pPr>
      <w:r>
        <w:t>convalidación título médico RETHUS</w:t>
      </w:r>
    </w:p>
    <w:p/>
    <w:p>
      <w:pPr>
        <w:pStyle w:val="Heading3"/>
      </w:pPr>
      <w:r>
        <w:t>Long-Tail Keywords</w:t>
      </w:r>
    </w:p>
    <w:p>
      <w:pPr>
        <w:pStyle w:val="ListBullet"/>
      </w:pPr>
      <w:r>
        <w:t>residencia patología Colombia cuatro años universidad</w:t>
      </w:r>
    </w:p>
    <w:p>
      <w:pPr>
        <w:pStyle w:val="ListBullet"/>
      </w:pPr>
      <w:r>
        <w:t>Ley 1917 2018 apoyo sostenimiento residentes</w:t>
      </w:r>
    </w:p>
    <w:p>
      <w:pPr>
        <w:pStyle w:val="ListBullet"/>
      </w:pPr>
      <w:r>
        <w:t>RETHUS registro talento humano salud médicos</w:t>
      </w:r>
    </w:p>
    <w:p>
      <w:pPr>
        <w:pStyle w:val="ListBullet"/>
      </w:pPr>
      <w:r>
        <w:t>examen admisión residencia médica universidad Colombia</w:t>
      </w:r>
    </w:p>
    <w:p>
      <w:pPr>
        <w:pStyle w:val="ListBullet"/>
      </w:pPr>
      <w:r>
        <w:t>how many years to become a pathologist Colombia</w:t>
      </w:r>
    </w:p>
    <w:p>
      <w:pPr>
        <w:pStyle w:val="ListBullet"/>
      </w:pPr>
      <w:r>
        <w:t>dermatopatología única subespecialidad patología Colombia</w:t>
      </w:r>
    </w:p>
    <w:p>
      <w:pPr>
        <w:pStyle w:val="ListBullet"/>
      </w:pPr>
      <w:r>
        <w:t>salario médico especialista Colombia 2026</w:t>
      </w:r>
    </w:p>
    <w:p>
      <w:pPr>
        <w:pStyle w:val="ListBullet"/>
      </w:pPr>
      <w:r>
        <w:t>Universidad de Antioquia patología 1955 historia</w:t>
      </w:r>
    </w:p>
    <w:p>
      <w:pPr>
        <w:pStyle w:val="ListBullet"/>
      </w:pPr>
      <w:r>
        <w:t>ICETEX crédito especialización médica</w:t>
      </w:r>
    </w:p>
    <w:p>
      <w:pPr>
        <w:pStyle w:val="ListBullet"/>
      </w:pPr>
      <w:r>
        <w:t>médicos extranjeros residencia Colombia requisitos</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Patología</w:t>
            </w:r>
          </w:p>
        </w:tc>
        <w:tc>
          <w:tcPr>
            <w:tcW w:type="dxa" w:w="3120"/>
          </w:tcPr>
          <w:p>
            <w:r>
              <w:t>2.7%</w:t>
            </w:r>
          </w:p>
        </w:tc>
        <w:tc>
          <w:tcPr>
            <w:tcW w:type="dxa" w:w="3120"/>
          </w:tcPr>
          <w:p>
            <w:r>
              <w:t>Natural, bilingual term coverage</w:t>
            </w:r>
          </w:p>
        </w:tc>
      </w:tr>
      <w:tr>
        <w:tc>
          <w:tcPr>
            <w:tcW w:type="dxa" w:w="3120"/>
          </w:tcPr>
          <w:p>
            <w:r>
              <w:t>Colombia / Colombian</w:t>
            </w:r>
          </w:p>
        </w:tc>
        <w:tc>
          <w:tcPr>
            <w:tcW w:type="dxa" w:w="3120"/>
          </w:tcPr>
          <w:p>
            <w:r>
              <w:t>2.6%</w:t>
            </w:r>
          </w:p>
        </w:tc>
        <w:tc>
          <w:tcPr>
            <w:tcW w:type="dxa" w:w="3120"/>
          </w:tcPr>
          <w:p>
            <w:r>
              <w:t>Strong geographic signal</w:t>
            </w:r>
          </w:p>
        </w:tc>
      </w:tr>
      <w:tr>
        <w:tc>
          <w:tcPr>
            <w:tcW w:type="dxa" w:w="3120"/>
          </w:tcPr>
          <w:p>
            <w:r>
              <w:t>Residency / Residencia / University</w:t>
            </w:r>
          </w:p>
        </w:tc>
        <w:tc>
          <w:tcPr>
            <w:tcW w:type="dxa" w:w="3120"/>
          </w:tcPr>
          <w:p>
            <w:r>
              <w:t>2.5%</w:t>
            </w:r>
          </w:p>
        </w:tc>
        <w:tc>
          <w:tcPr>
            <w:tcW w:type="dxa" w:w="3120"/>
          </w:tcPr>
          <w:p>
            <w:r>
              <w:t>Core pathway term</w:t>
            </w:r>
          </w:p>
        </w:tc>
      </w:tr>
      <w:tr>
        <w:tc>
          <w:tcPr>
            <w:tcW w:type="dxa" w:w="3120"/>
          </w:tcPr>
          <w:p>
            <w:r>
              <w:t>RETHUS / Convalidación / Ministry</w:t>
            </w:r>
          </w:p>
        </w:tc>
        <w:tc>
          <w:tcPr>
            <w:tcW w:type="dxa" w:w="3120"/>
          </w:tcPr>
          <w:p>
            <w:r>
              <w:t>1.5%</w:t>
            </w:r>
          </w:p>
        </w:tc>
        <w:tc>
          <w:tcPr>
            <w:tcW w:type="dxa" w:w="3120"/>
          </w:tcPr>
          <w:p>
            <w:r>
              <w:t>High-intent IMG regulatory terms</w:t>
            </w:r>
          </w:p>
        </w:tc>
      </w:tr>
      <w:tr>
        <w:tc>
          <w:tcPr>
            <w:tcW w:type="dxa" w:w="3120"/>
          </w:tcPr>
          <w:p>
            <w:r>
              <w:t>Salary / Salario / Specialist</w:t>
            </w:r>
          </w:p>
        </w:tc>
        <w:tc>
          <w:tcPr>
            <w:tcW w:type="dxa" w:w="3120"/>
          </w:tcPr>
          <w:p>
            <w:r>
              <w:t>1.4%</w:t>
            </w:r>
          </w:p>
        </w:tc>
        <w:tc>
          <w:tcPr>
            <w:tcW w:type="dxa" w:w="3120"/>
          </w:tcPr>
          <w:p>
            <w:r>
              <w:t>Commercial intent term</w:t>
            </w:r>
          </w:p>
        </w:tc>
      </w:tr>
    </w:tbl>
    <w:p/>
    <w:p>
      <w:pPr>
        <w:pStyle w:val="Heading3"/>
      </w:pPr>
      <w:r>
        <w:t>Readability &amp; Structure</w:t>
      </w:r>
    </w:p>
    <w:p>
      <w:r>
        <w:rPr>
          <w:b/>
        </w:rPr>
        <w:t xml:space="preserve">Flesch-Kincaid Grade Level: </w:t>
      </w:r>
      <w:r>
        <w:t>11.7 (professional medical audience)</w:t>
      </w:r>
    </w:p>
    <w:p>
      <w:r>
        <w:rPr>
          <w:b/>
        </w:rPr>
        <w:t xml:space="preserve">Flesch Reading Ease: </w:t>
      </w:r>
      <w:r>
        <w:t>47/100 (appropriate for specialist content)</w:t>
      </w:r>
    </w:p>
    <w:p>
      <w:r>
        <w:rPr>
          <w:b/>
        </w:rPr>
        <w:t xml:space="preserve">Word Count: </w:t>
      </w:r>
      <w:r>
        <w:t>~1,230 words (optimal SEO range)</w:t>
      </w:r>
    </w:p>
    <w:p>
      <w:r>
        <w:rPr>
          <w:b/>
        </w:rPr>
        <w:t xml:space="preserve">Heading Structure: </w:t>
      </w:r>
      <w:r>
        <w:t>H1 → H2 → H3 hierarchy, featured-snippet friendly</w:t>
      </w:r>
    </w:p>
    <w:p>
      <w:r>
        <w:rPr>
          <w:b/>
        </w:rPr>
        <w:t xml:space="preserve">Bilingual Term Strategy: </w:t>
      </w:r>
      <w:r>
        <w:t>Spanish terms retained alongside English glosses</w:t>
      </w:r>
    </w:p>
    <w:p>
      <w:r>
        <w:rPr>
          <w:b/>
        </w:rPr>
        <w:t xml:space="preserve">Snippet Opportunity: </w:t>
      </w:r>
      <w:r>
        <w:t>The 'no nationality restriction, no age limit' opening and the dermatopathology-only subspecialty limitation are both strong, distinctive featured-snippet candidates</w:t>
      </w:r>
    </w:p>
    <w:p/>
    <w:p>
      <w:pPr>
        <w:pStyle w:val="Heading3"/>
      </w:pPr>
      <w:r>
        <w:t>Suggested External Authority Links</w:t>
      </w:r>
    </w:p>
    <w:p>
      <w:pPr>
        <w:pStyle w:val="ListBullet"/>
      </w:pPr>
      <w:r>
        <w:rPr>
          <w:b/>
        </w:rPr>
        <w:t xml:space="preserve">Ministerio de Educación Nacional — Convalidaciones — </w:t>
      </w:r>
      <w:r>
        <w:t>https://www.mineducacion.gov.co</w:t>
      </w:r>
    </w:p>
    <w:p>
      <w:pPr>
        <w:pStyle w:val="ListBullet"/>
      </w:pPr>
      <w:r>
        <w:rPr>
          <w:b/>
        </w:rPr>
        <w:t xml:space="preserve">RETHUS — Ministerio de Salud — </w:t>
      </w:r>
      <w:r>
        <w:t>https://www.minsalud.gov.co</w:t>
      </w:r>
    </w:p>
    <w:p>
      <w:pPr>
        <w:pStyle w:val="ListBullet"/>
      </w:pPr>
      <w:r>
        <w:rPr>
          <w:b/>
        </w:rPr>
        <w:t xml:space="preserve">Universidad de Antioquia — Especialización en Patología — </w:t>
      </w:r>
      <w:r>
        <w:t>https://www.udea.edu.co</w:t>
      </w:r>
    </w:p>
    <w:p>
      <w:pPr>
        <w:pStyle w:val="ListBullet"/>
      </w:pPr>
      <w:r>
        <w:rPr>
          <w:b/>
        </w:rPr>
        <w:t xml:space="preserve">Universidad de los Andes — Especialización Patología — </w:t>
      </w:r>
      <w:r>
        <w:t>https://medicina.uniandes.edu.co/es/programas/posgrado/especializacion-patologia</w:t>
      </w:r>
    </w:p>
    <w:p>
      <w:pPr>
        <w:pStyle w:val="ListBullet"/>
      </w:pPr>
      <w:r>
        <w:rPr>
          <w:b/>
        </w:rPr>
        <w:t xml:space="preserve">ICETEX — </w:t>
      </w:r>
      <w:r>
        <w:t>https://www.icetex.gov.co</w:t>
      </w:r>
    </w:p>
    <w:p>
      <w:pPr>
        <w:pStyle w:val="ListBullet"/>
      </w:pPr>
      <w:r>
        <w:rPr>
          <w:b/>
        </w:rPr>
        <w:t xml:space="preserve">Ministerio de Salud y Protección Social — </w:t>
      </w:r>
      <w:r>
        <w:t>https://www.minsalud.gov.co</w:t>
      </w:r>
    </w:p>
    <w:p/>
    <w:p>
      <w:pPr>
        <w:pStyle w:val="Heading3"/>
      </w:pPr>
      <w:r>
        <w:t>Image Alt Text Suggestions</w:t>
      </w:r>
    </w:p>
    <w:p>
      <w:pPr>
        <w:pStyle w:val="ListBullet"/>
      </w:pPr>
      <w:r>
        <w:t>"Pathology resident examining slides at a Colombian university teaching hospital"</w:t>
      </w:r>
    </w:p>
    <w:p>
      <w:pPr>
        <w:pStyle w:val="ListBullet"/>
      </w:pPr>
      <w:r>
        <w:t>"Map of Colombia showing the 30+ universities offering medical specialisation programmes"</w:t>
      </w:r>
    </w:p>
    <w:p>
      <w:pPr>
        <w:pStyle w:val="ListBullet"/>
      </w:pPr>
      <w:r>
        <w:t>"Flowchart of convalidación and RETHUS registration for internationally trained doctors in Colombia"</w:t>
      </w:r>
    </w:p>
    <w:p>
      <w:pPr>
        <w:pStyle w:val="ListBullet"/>
      </w:pPr>
      <w:r>
        <w:t>"Chart comparing specialist salaries by medical specialty in Colombia"</w:t>
      </w:r>
    </w:p>
    <w:p/>
    <w:p>
      <w:pPr>
        <w:pStyle w:val="Heading3"/>
      </w:pPr>
      <w:r>
        <w:t>Web Conversion CTAs</w:t>
      </w:r>
    </w:p>
    <w:p>
      <w:r>
        <w:rPr>
          <w:b/>
        </w:rPr>
        <w:t xml:space="preserve">CTA 1 (International applicants): </w:t>
      </w:r>
      <w:r>
        <w:t>Start your degree convalidación with the Ministry of National Education and RETHUS registration now — these gate every subsequent step.</w:t>
      </w:r>
    </w:p>
    <w:p>
      <w:r>
        <w:rPr>
          <w:b/>
        </w:rPr>
        <w:t xml:space="preserve">CTA 2 (Exam preparation): </w:t>
      </w:r>
      <w:r>
        <w:t>Choose your target universities early and prepare for their specific examination format — Colombia has no centralised national residency match.</w:t>
      </w:r>
    </w:p>
    <w:p>
      <w:r>
        <w:rPr>
          <w:b/>
        </w:rPr>
        <w:t xml:space="preserve">CTA 3 (Programme quality): </w:t>
      </w:r>
      <w:r>
        <w:t>Investigate each programme's immunohistochemistry and molecular testing capability — this varies meaningfully between institutions.</w:t>
      </w:r>
    </w:p>
    <w:p>
      <w:r>
        <w:rPr>
          <w:b/>
        </w:rPr>
        <w:t xml:space="preserve">CTA 4 (Financing): </w:t>
      </w:r>
      <w:r>
        <w:t>Explore ICETEX credit lines and Ministry of Health rural-service financing programmes to fund your specialisation costs.</w:t>
      </w:r>
    </w:p>
    <w:p/>
    <w:p>
      <w:pPr>
        <w:pStyle w:val="Heading3"/>
      </w:pPr>
      <w:r>
        <w:t>Publication &amp; Distribution Notes</w:t>
      </w:r>
    </w:p>
    <w:p>
      <w:r>
        <w:rPr>
          <w:b/>
        </w:rPr>
        <w:t xml:space="preserve">Platform Recommendations: </w:t>
      </w:r>
      <w:r>
        <w:t>Blog/website primary (SEO), LinkedIn article mirror, Medium republication, Latin American and Spanish-language medical career portals</w:t>
      </w:r>
    </w:p>
    <w:p>
      <w:r>
        <w:rPr>
          <w:b/>
        </w:rPr>
        <w:t xml:space="preserve">LinkedIn Hashtags: </w:t>
      </w:r>
      <w:r>
        <w:t>#PathologyCareers #Colombia #ResidenciaMedica #MedicalCareers #Pathologist #Patologia #RETHUS #LatinAmericaHealthcare #MedicosExtranjeros #Especializacion</w:t>
      </w:r>
    </w:p>
    <w:p>
      <w:r>
        <w:rPr>
          <w:b/>
        </w:rPr>
        <w:t xml:space="preserve">Optimal Publishing Time: </w:t>
      </w:r>
      <w:r>
        <w:t>Tuesday–Thursday, 8 AM–12 PM COT</w:t>
      </w:r>
    </w:p>
    <w:p>
      <w:r>
        <w:rPr>
          <w:b/>
        </w:rPr>
        <w:t xml:space="preserve">Content Refresh Cycle: </w:t>
      </w:r>
      <w:r>
        <w:t>Update alongside university convocatoria cycles (annually) and any Ley 1917 implementation changes affecting resident stipends</w:t>
      </w:r>
    </w:p>
    <w:p>
      <w:r>
        <w:rPr>
          <w:b/>
        </w:rPr>
        <w:t xml:space="preserve">Localisation Note: </w:t>
      </w:r>
      <w:r>
        <w:t>Strong candidate for a Spanish-language companion piece — Colombia is a major regional destination for Venezuelan, Ecuadorian, Peruvian and other Latin American doctors, making Spanish-language reach particularly valuable here</w:t>
      </w:r>
    </w:p>
    <w:p>
      <w:r>
        <w:rPr>
          <w:b/>
        </w:rPr>
        <w:t xml:space="preserve">Regional Note: </w:t>
      </w:r>
      <w:r>
        <w:t>Cross-links naturally with the Argentina, Brazil and Mexico guides for readers comparing Latin American specialisation destinations</w:t>
      </w:r>
    </w:p>
    <w:p>
      <w:r>
        <w:rPr>
          <w:b/>
        </w:rPr>
        <w:t xml:space="preserve">A/B Test Headlines: </w:t>
      </w:r>
      <w:r>
        <w:t>'Pathology in Colombia: Your Complete Career Guide' vs. 'Colombia Places No Nationality or Age Limit on Medical Residency — Here's the Pathology Route'</w:t>
      </w:r>
    </w:p>
    <w:p/>
    <w:p>
      <w:r>
        <w:rPr>
          <w:i/>
        </w:rPr>
        <w:t xml:space="preserve">Document Generated: </w:t>
      </w:r>
      <w:r>
        <w:t>July 31, 2026</w:t>
      </w:r>
    </w:p>
    <w:p>
      <w:r>
        <w:rPr>
          <w:i/>
        </w:rPr>
        <w:t xml:space="preserve">SEO Status: </w:t>
      </w:r>
      <w:r>
        <w:t>Ready for publication — verify current university convocatoria requirements, Ley 1917 stipend implementation and salary data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