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Kuwait: Your Complete Career Guide to the Gulf's Highest-Valued Currency</w:t>
      </w:r>
    </w:p>
    <w:p>
      <w:pPr>
        <w:jc w:val="center"/>
      </w:pPr>
      <w:r>
        <w:rPr>
          <w:i/>
          <w:color w:val="666666"/>
          <w:sz w:val="26"/>
        </w:rPr>
        <w:t>MOH Licensing, KIMS Specialty Training, Civil Service Pay Grades &amp; Tax-Free Packages</w:t>
      </w:r>
    </w:p>
    <w:p>
      <w:pPr>
        <w:jc w:val="center"/>
      </w:pPr>
      <w:r>
        <w:rPr>
          <w:i/>
          <w:color w:val="969696"/>
          <w:sz w:val="20"/>
        </w:rPr>
        <w:t>Last Updated: July 31, 2026</w:t>
      </w:r>
    </w:p>
    <w:p/>
    <w:p>
      <w:pPr>
        <w:pStyle w:val="Heading1"/>
      </w:pPr>
      <w:r>
        <w:t>A Wealthy, Selective Market That Rewards Patience</w:t>
      </w:r>
    </w:p>
    <w:p>
      <w:pPr>
        <w:spacing w:after="240"/>
      </w:pPr>
      <w:r>
        <w:t>The Kuwaiti dinar is the highest-valued currency unit in the world, and Kuwait's healthcare compensation reflects a genuinely wealthy, petroleum-funded economy — a civil service consultant pay grade running from roughly KD 1,315 to KD 2,360 monthly, all tax-free, with additional allowances layered on top. For pathologists prepared to navigate one of the Gulf's more demanding licensing processes, Kuwait offers real financial reward.</w:t>
      </w:r>
    </w:p>
    <w:p>
      <w:pPr>
        <w:spacing w:after="240"/>
      </w:pPr>
      <w:r>
        <w:t>The honest caveat: Kuwait is widely recognised across the region as having stricter, slower licensing requirements than its Gulf neighbours. Recognition standards are more conservative — some institutions accepted by other GCC authorities are not accepted by Kuwait's Ministry of Health — and the typical end-to-end licensing timeline runs 13 to 27 weeks even before accounting for document attestation delays. Plan for a longer runway here than in the UAE, Qatar or Saudi Arabia.</w:t>
      </w:r>
    </w:p>
    <w:p>
      <w:pPr>
        <w:pStyle w:val="Heading2"/>
      </w:pPr>
      <w:r>
        <w:t>Why Choose Kuwait for Your Pathology Career?</w:t>
      </w:r>
    </w:p>
    <w:p>
      <w:pPr>
        <w:pStyle w:val="ListBullet"/>
        <w:spacing w:after="120"/>
      </w:pPr>
      <w:r>
        <w:rPr>
          <w:b/>
        </w:rPr>
        <w:t xml:space="preserve">Genuinely High Purchasing Power: </w:t>
      </w:r>
      <w:r>
        <w:t>The Kuwaiti dinar is the world's highest-valued currency unit. A consultant earning KD 3,000 monthly can comfortably support a family of three while still saving 60–70% of income, according to cost-of-living analysis.</w:t>
      </w:r>
    </w:p>
    <w:p>
      <w:pPr>
        <w:pStyle w:val="ListBullet"/>
        <w:spacing w:after="120"/>
      </w:pPr>
      <w:r>
        <w:rPr>
          <w:b/>
        </w:rPr>
        <w:t xml:space="preserve">Structured, Transparent Civil Service Pay Scales: </w:t>
      </w:r>
      <w:r>
        <w:t>Salaries are set by the Ministry of Finance in collaboration with the Civil Service Bureau — published grade structures rather than ad hoc negotiation, giving genuine pay predictability.</w:t>
      </w:r>
    </w:p>
    <w:p>
      <w:pPr>
        <w:pStyle w:val="ListBullet"/>
        <w:spacing w:after="120"/>
      </w:pPr>
      <w:r>
        <w:rPr>
          <w:b/>
        </w:rPr>
        <w:t xml:space="preserve">Tax-Free Income With Substantial Benefits: </w:t>
      </w:r>
      <w:r>
        <w:t>No personal income tax, plus housing or allowances, transportation support, paid annual leave, family health insurance, and in many cases flights home — a complete package rather than salary alone.</w:t>
      </w:r>
    </w:p>
    <w:p>
      <w:pPr>
        <w:pStyle w:val="ListBullet"/>
        <w:spacing w:after="120"/>
      </w:pPr>
      <w:r>
        <w:rPr>
          <w:b/>
        </w:rPr>
        <w:t xml:space="preserve">Manageable, Family-Friendly Working Conditions: </w:t>
      </w:r>
      <w:r>
        <w:t>Doctors in Kuwait generally work fixed schedules with manageable emergency duties, and paid leave supports genuine work-life balance — a point of differentiation some Gulf destinations don't offer as consistently.</w:t>
      </w:r>
    </w:p>
    <w:p>
      <w:pPr>
        <w:pStyle w:val="ListBullet"/>
        <w:spacing w:after="120"/>
      </w:pPr>
      <w:r>
        <w:rPr>
          <w:b/>
        </w:rPr>
        <w:t xml:space="preserve">A Wealthy Healthcare System Investing in Growth: </w:t>
      </w:r>
      <w:r>
        <w:t>Government investment in digital health, telemedicine and advanced specialist centres — cardiology, oncology, orthopaedics — continues, driving sustained demand for qualified specialists including pathologists.</w:t>
      </w:r>
    </w:p>
    <w:p>
      <w:pPr>
        <w:pStyle w:val="ListBullet"/>
        <w:spacing w:after="120"/>
      </w:pPr>
      <w:r>
        <w:rPr>
          <w:b/>
        </w:rPr>
        <w:t xml:space="preserve">KIMS Postgraduate Training Infrastructure: </w:t>
      </w:r>
      <w:r>
        <w:t>The Kuwait Institute for Medical Specialization runs residency and fellowship training for those building a Kuwait-based specialist career from within the system.</w:t>
      </w:r>
    </w:p>
    <w:p/>
    <w:p>
      <w:pPr>
        <w:pStyle w:val="Heading2"/>
      </w:pPr>
      <w:r>
        <w:t>Understanding the Two Bodies — MOH and KIMS</w:t>
      </w:r>
    </w:p>
    <w:p>
      <w:pPr>
        <w:spacing w:after="160"/>
      </w:pPr>
      <w:r>
        <w:t>As in several Gulf states, licensing and postgraduate training in Kuwait are handled by entirely separate organisations, and conflating them causes real confusion.</w:t>
      </w:r>
    </w:p>
    <w:p>
      <w:pPr>
        <w:spacing w:after="160"/>
      </w:pPr>
      <w:r>
        <w:rPr>
          <w:b/>
        </w:rPr>
        <w:t xml:space="preserve">Ministry of Health (MOH) — Health Licensing Department — </w:t>
      </w:r>
      <w:r>
        <w:t>Established under Ministerial Resolution No. 176 of 1993. The sole authority issuing all professional and institutional health licences in Kuwait, public and private sector alike, except pharmacy. Governs the licensing process and regulates private-sector practice.</w:t>
      </w:r>
    </w:p>
    <w:p>
      <w:pPr>
        <w:spacing w:after="160"/>
      </w:pPr>
      <w:r>
        <w:rPr>
          <w:b/>
        </w:rPr>
        <w:t xml:space="preserve">Kuwait Institute for Medical Specialization (KIMS) — </w:t>
      </w:r>
      <w:r>
        <w:t>Does not issue licences. Manages residency programmes, fellowship training and continuing medical education for practitioners already licensed in Kuwait. Government-track doctors often register with KIMS for CME purposes, but this is separate from — and does not substitute for — MOH licensing.</w:t>
      </w:r>
    </w:p>
    <w:p/>
    <w:p>
      <w:pPr>
        <w:pStyle w:val="Heading2"/>
      </w:pPr>
      <w:r>
        <w:t>Your Step-by-Step Pathway to Practising Pathology in Kuwait</w:t>
      </w:r>
    </w:p>
    <w:p>
      <w:pPr>
        <w:pStyle w:val="Heading3"/>
      </w:pPr>
      <w:r>
        <w:t>Stage 1: Secure a Job Offer</w:t>
      </w:r>
    </w:p>
    <w:p>
      <w:pPr>
        <w:spacing w:after="240"/>
      </w:pPr>
      <w:r>
        <w:t>A confirmed offer from a hospital or clinic is mandatory before the licensing process proceeds meaningfully in most cases — Kuwait's system is fundamentally employer-sponsored, so recruitment and licensing run together rather than licence-first.</w:t>
      </w:r>
    </w:p>
    <w:p>
      <w:pPr>
        <w:pStyle w:val="Heading3"/>
      </w:pPr>
      <w:r>
        <w:t>Stage 2: Confirm Your Qualification Is MOH-Recognised</w:t>
      </w:r>
    </w:p>
    <w:p>
      <w:pPr>
        <w:spacing w:after="240"/>
      </w:pPr>
      <w:r>
        <w:t>This is the step that catches applicants off guard. Kuwait maintains stringent recognition standards, and some institutions accepted by other GCC licensing authorities are not recognised by Kuwait's MOH. Verify your specific medical school and postgraduate qualification against Kuwait's approved list before investing further time or money in the process — do not assume that acceptance elsewhere in the Gulf implies acceptance here.</w:t>
      </w:r>
    </w:p>
    <w:p>
      <w:pPr>
        <w:pStyle w:val="Heading3"/>
      </w:pPr>
      <w:r>
        <w:t>Stage 3: Document Verification via EPIC/Dataflow</w:t>
      </w:r>
    </w:p>
    <w:p>
      <w:pPr>
        <w:spacing w:after="160"/>
      </w:pPr>
      <w:r>
        <w:t>Credentials are verified directly with issuing institutions through EPIC (or equivalent Dataflow primary source verification, mandatory since roughly 2019–2020). Start this as early as possible after deciding to apply — verification timing depends heavily on how quickly your former institutions respond, a factor entirely outside your control.</w:t>
      </w:r>
    </w:p>
    <w:p>
      <w:r>
        <w:rPr>
          <w:b/>
        </w:rPr>
        <w:t xml:space="preserve">Kuwait's document requirements are notably strict: </w:t>
      </w:r>
      <w:r>
        <w:t>all documents must be attested by the Kuwaiti embassy in your country of training — a firmer requirement than several neighbouring Gulf states apply.</w:t>
      </w:r>
    </w:p>
    <w:p/>
    <w:p>
      <w:pPr>
        <w:pStyle w:val="Heading3"/>
      </w:pPr>
      <w:r>
        <w:t>Stage 4: Confirm Your Experience Threshold</w:t>
      </w:r>
    </w:p>
    <w:p>
      <w:pPr>
        <w:spacing w:after="240"/>
      </w:pPr>
      <w:r>
        <w:t>Kuwait generally requires more clinical experience than other GCC countries — typically 3 to 5 years minimum for most specialties, with higher thresholds for senior or consultant-grade positions. Gather comprehensive, verifiable experience letters for every post; incomplete documentation is a common cause of delay.</w:t>
      </w:r>
    </w:p>
    <w:p>
      <w:pPr>
        <w:pStyle w:val="Heading3"/>
      </w:pPr>
      <w:r>
        <w:t>Stage 5: The Kuwait Medical Licensing Examination (KMLE)</w:t>
      </w:r>
    </w:p>
    <w:p>
      <w:pPr>
        <w:spacing w:after="160"/>
      </w:pPr>
      <w:r>
        <w:t>Administered by Prometric, available both within Kuwait and at international Prometric centres. The exam is computer-based, 150 multiple-choice questions over roughly 170 minutes, typically in English, covering your specialty area plus medical ethics and patient safety. A pass mark of roughly 65–70% applies, though aiming for 70% or higher is the safer target. Up to three attempts are permitted, with a mandatory six-week wait between attempts.</w:t>
      </w:r>
    </w:p>
    <w:p>
      <w:pPr>
        <w:spacing w:after="240"/>
      </w:pPr>
      <w:r>
        <w:t>Some specialties additionally require a clinical interview at MOH Kuwait — confirm whether this applies to pathology specifically as part of your eligibility check.</w:t>
      </w:r>
    </w:p>
    <w:p>
      <w:pPr>
        <w:pStyle w:val="Heading3"/>
      </w:pPr>
      <w:r>
        <w:t>Stage 6: Local Registration and Licence Issuance</w:t>
      </w:r>
    </w:p>
    <w:p>
      <w:pPr>
        <w:spacing w:after="240"/>
      </w:pPr>
      <w:r>
        <w:t>Many practitioners join the Kuwait Medical Association (KMA) — via its Jabriya office, with an annual fee of roughly KD 20–30 — and submit membership proof to MOH as part of finalising registration. Following successful completion of all requirements, a practice licence, typically valid for five years, is issued. Kuwait adopted a modernised, unified legal framework in 2025 covering licensing, renewal, transfers and practice regulations, including specific provisions for non-Kuwaiti doctors.</w:t>
      </w:r>
    </w:p>
    <w:p>
      <w:pPr>
        <w:pStyle w:val="Heading2"/>
      </w:pPr>
      <w:r>
        <w:t>Total Timeline</w:t>
      </w:r>
    </w:p>
    <w:p>
      <w:r>
        <w:rPr>
          <w:b/>
        </w:rPr>
        <w:t xml:space="preserve">Typical end-to-end MOH licensing process: </w:t>
      </w:r>
      <w:r>
        <w:t>13–27 weeks, according to specialist Gulf licensing consultancies — longer than the equivalent process in the UAE or Qatar, and this excludes any delay from slow-responding former employers during verification.</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(KD, tax-free)</w:t>
            </w:r>
          </w:p>
        </w:tc>
      </w:tr>
      <w:tr>
        <w:tc>
          <w:tcPr>
            <w:tcW w:type="dxa" w:w="4680"/>
          </w:tcPr>
          <w:p>
            <w:r>
              <w:t>First-grade specialist</w:t>
            </w:r>
          </w:p>
        </w:tc>
        <w:tc>
          <w:tcPr>
            <w:tcW w:type="dxa" w:w="4680"/>
          </w:tcPr>
          <w:p>
            <w:r>
              <w:t>850 – 1,050/month</w:t>
            </w:r>
          </w:p>
        </w:tc>
      </w:tr>
      <w:tr>
        <w:tc>
          <w:tcPr>
            <w:tcW w:type="dxa" w:w="4680"/>
          </w:tcPr>
          <w:p>
            <w:r>
              <w:t>Specialist doctor, general average</w:t>
            </w:r>
          </w:p>
        </w:tc>
        <w:tc>
          <w:tcPr>
            <w:tcW w:type="dxa" w:w="4680"/>
          </w:tcPr>
          <w:p>
            <w:r>
              <w:t>~2,950/month</w:t>
            </w:r>
          </w:p>
        </w:tc>
      </w:tr>
      <w:tr>
        <w:tc>
          <w:tcPr>
            <w:tcW w:type="dxa" w:w="4680"/>
          </w:tcPr>
          <w:p>
            <w:r>
              <w:t>Highly specialized consultant</w:t>
            </w:r>
          </w:p>
        </w:tc>
        <w:tc>
          <w:tcPr>
            <w:tcW w:type="dxa" w:w="4680"/>
          </w:tcPr>
          <w:p>
            <w:r>
              <w:t>1,315 – 1,535/month</w:t>
            </w:r>
          </w:p>
        </w:tc>
      </w:tr>
      <w:tr>
        <w:tc>
          <w:tcPr>
            <w:tcW w:type="dxa" w:w="4680"/>
          </w:tcPr>
          <w:p>
            <w:r>
              <w:t>First-grade general consultant</w:t>
            </w:r>
          </w:p>
        </w:tc>
        <w:tc>
          <w:tcPr>
            <w:tcW w:type="dxa" w:w="4680"/>
          </w:tcPr>
          <w:p>
            <w:r>
              <w:t>~1,335/month</w:t>
            </w:r>
          </w:p>
        </w:tc>
      </w:tr>
      <w:tr>
        <w:tc>
          <w:tcPr>
            <w:tcW w:type="dxa" w:w="4680"/>
          </w:tcPr>
          <w:p>
            <w:r>
              <w:t>Chief medical officer, first grade to top</w:t>
            </w:r>
          </w:p>
        </w:tc>
        <w:tc>
          <w:tcPr>
            <w:tcW w:type="dxa" w:w="4680"/>
          </w:tcPr>
          <w:p>
            <w:r>
              <w:t>2,040 – 2,360/month</w:t>
            </w:r>
          </w:p>
        </w:tc>
      </w:tr>
      <w:tr>
        <w:tc>
          <w:tcPr>
            <w:tcW w:type="dxa" w:w="4680"/>
          </w:tcPr>
          <w:p>
            <w:r>
              <w:t>Broad specialist/consultant range (Medium)</w:t>
            </w:r>
          </w:p>
        </w:tc>
        <w:tc>
          <w:tcPr>
            <w:tcW w:type="dxa" w:w="4680"/>
          </w:tcPr>
          <w:p>
            <w:r>
              <w:t>1,800 – 4,000/month depending on experience and specialty</w:t>
            </w:r>
          </w:p>
        </w:tc>
      </w:tr>
      <w:tr>
        <w:tc>
          <w:tcPr>
            <w:tcW w:type="dxa" w:w="4680"/>
          </w:tcPr>
          <w:p>
            <w:r>
              <w:t>Illustrative full-time employed doctor package</w:t>
            </w:r>
          </w:p>
        </w:tc>
        <w:tc>
          <w:tcPr>
            <w:tcW w:type="dxa" w:w="4680"/>
          </w:tcPr>
          <w:p>
            <w:r>
              <w:t>200,000+ USD/year equivalent with benefits (higher-demand specialties)</w:t>
            </w:r>
          </w:p>
        </w:tc>
      </w:tr>
    </w:tbl>
    <w:p/>
    <w:p>
      <w:pPr>
        <w:spacing w:after="240"/>
      </w:pPr>
      <w:r>
        <w:t>Be aware these figures vary considerably by source and appear to blend civil-service pay-grade data with broader market reporting — treat published Ministry of Finance/Civil Service Bureau grade structures as the more authoritative reference for government posts, and private-sector or specialist-centre offers as a separate, potentially higher-paying category worth negotiating individually. As in other Gulf markets, always clarify whether a quoted figure is basic salary or an all-inclusive package before comparing offers, since housing, transport and other allowances are commonly added on top of the base grade rather than included within it.</w:t>
      </w:r>
    </w:p>
    <w:p>
      <w:pPr>
        <w:pStyle w:val="Heading2"/>
      </w:pPr>
      <w:r>
        <w:t>Your Next Steps</w:t>
      </w:r>
    </w:p>
    <w:p>
      <w:pPr>
        <w:pStyle w:val="ListNumber"/>
        <w:spacing w:after="120"/>
      </w:pPr>
      <w:r>
        <w:rPr>
          <w:b/>
        </w:rPr>
        <w:t xml:space="preserve">Verify your qualification against Kuwait's approved list first: </w:t>
      </w:r>
      <w:r>
        <w:t>Before any other step — Kuwait's recognition standards are stricter than several neighbouring Gulf states, and this is the most common point of unexpected rejection.</w:t>
      </w:r>
    </w:p>
    <w:p>
      <w:pPr>
        <w:pStyle w:val="ListNumber"/>
        <w:spacing w:after="120"/>
      </w:pPr>
      <w:r>
        <w:rPr>
          <w:b/>
        </w:rPr>
        <w:t xml:space="preserve">Secure a job offer as your practical starting point: </w:t>
      </w:r>
      <w:r>
        <w:t>Kuwait's system is fundamentally employer-driven; licensing proceeds alongside, not independently of, a confirmed post.</w:t>
      </w:r>
    </w:p>
    <w:p>
      <w:pPr>
        <w:pStyle w:val="ListNumber"/>
        <w:spacing w:after="120"/>
      </w:pPr>
      <w:r>
        <w:rPr>
          <w:b/>
        </w:rPr>
        <w:t xml:space="preserve">Start EPIC/Dataflow verification immediately: </w:t>
      </w:r>
      <w:r>
        <w:t>Response times from your former institutions are the least controllable variable in your timeline — begin as early as possible.</w:t>
      </w:r>
    </w:p>
    <w:p>
      <w:pPr>
        <w:pStyle w:val="ListNumber"/>
        <w:spacing w:after="120"/>
      </w:pPr>
      <w:r>
        <w:rPr>
          <w:b/>
        </w:rPr>
        <w:t xml:space="preserve">Arrange Kuwaiti embassy attestation of every document: </w:t>
      </w:r>
      <w:r>
        <w:t>This is a firmer requirement here than in some neighbouring states — build the necessary lead time into your planning.</w:t>
      </w:r>
    </w:p>
    <w:p>
      <w:pPr>
        <w:pStyle w:val="ListNumber"/>
        <w:spacing w:after="120"/>
      </w:pPr>
      <w:r>
        <w:rPr>
          <w:b/>
        </w:rPr>
        <w:t xml:space="preserve">Confirm your years of experience meet Kuwait's higher threshold: </w:t>
      </w:r>
      <w:r>
        <w:t>Typically 3–5 years minimum, higher for consultant grades — more demanding than several other GCC destinations.</w:t>
      </w:r>
    </w:p>
    <w:p>
      <w:pPr>
        <w:pStyle w:val="ListNumber"/>
        <w:spacing w:after="120"/>
      </w:pPr>
      <w:r>
        <w:rPr>
          <w:b/>
        </w:rPr>
        <w:t xml:space="preserve">Prepare specifically for the KMLE format: </w:t>
      </w:r>
      <w:r>
        <w:t>150 MCQs, roughly 170 minutes, English-language, ~65–70% pass mark, up to 3 attempts with a mandatory 6-week gap between sittings.</w:t>
      </w:r>
    </w:p>
    <w:p>
      <w:pPr>
        <w:pStyle w:val="ListNumber"/>
        <w:spacing w:after="120"/>
      </w:pPr>
      <w:r>
        <w:rPr>
          <w:b/>
        </w:rPr>
        <w:t xml:space="preserve">Budget realistically for 13–27 weeks: </w:t>
      </w:r>
      <w:r>
        <w:t>Plan your relocation and any current-employer notice period around this longer Gulf licensing timeline rather than assuming UAE- or Qatar-speed processing.</w:t>
      </w:r>
    </w:p>
    <w:p/>
    <w:p>
      <w:pPr>
        <w:pStyle w:val="Heading2"/>
      </w:pPr>
      <w:r>
        <w:t>The Bottom Line</w:t>
      </w:r>
    </w:p>
    <w:p>
      <w:pPr>
        <w:spacing w:after="240"/>
      </w:pPr>
      <w:r>
        <w:t>Kuwait asks more of applicants than several of its Gulf neighbours — stricter qualification recognition, higher experience thresholds, firmer document attestation requirements, and a genuinely longer licensing timeline. This is a deliberate feature of a wealthy system that can afford to be selective, not a bureaucratic accident.</w:t>
      </w:r>
    </w:p>
    <w:p>
      <w:pPr>
        <w:spacing w:after="240"/>
      </w:pPr>
      <w:r>
        <w:t>In return, Kuwait offers tax-free compensation in the world's highest-valued currency, transparent civil-service pay grading, comprehensive benefits, and a working culture that genuinely accommodates fixed schedules and family life alongside a demanding specialty.</w:t>
      </w:r>
    </w:p>
    <w:p>
      <w:r>
        <w:rPr>
          <w:i/>
        </w:rPr>
        <w:t>Verify your qualification against Kuwait's specific approved list before you do anything else. It is the one step that, done wrong, wastes every other step that follows.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Kuwait: Career Guide, MOH Licensing, KIMS Training &amp; Consultant Salaries</w:t>
      </w:r>
    </w:p>
    <w:p>
      <w:pPr>
        <w:spacing w:after="240"/>
      </w:pPr>
      <w:r>
        <w:rPr>
          <w:b/>
        </w:rPr>
        <w:t xml:space="preserve">Meta Description: </w:t>
      </w:r>
      <w:r>
        <w:t>Complete guide to working as a pathologist in Kuwait: MOH licensing requirements, the KMLE exam, KIMS specialty training, document attestation rules, and tax-free consultant salaries from KD 1,315 to KD 2,360 monthly.</w:t>
      </w:r>
    </w:p>
    <w:p>
      <w:pPr>
        <w:pStyle w:val="Heading3"/>
      </w:pPr>
      <w:r>
        <w:t>Primary Keywords</w:t>
      </w:r>
    </w:p>
    <w:p>
      <w:pPr>
        <w:pStyle w:val="ListBullet"/>
      </w:pPr>
      <w:r>
        <w:t>pathologist jobs Kuwait</w:t>
      </w:r>
    </w:p>
    <w:p>
      <w:pPr>
        <w:pStyle w:val="ListBullet"/>
      </w:pPr>
      <w:r>
        <w:t>MOH Kuwait licence</w:t>
      </w:r>
    </w:p>
    <w:p>
      <w:pPr>
        <w:pStyle w:val="ListBullet"/>
      </w:pPr>
      <w:r>
        <w:t>consultant pathologist salary Kuwait</w:t>
      </w:r>
    </w:p>
    <w:p>
      <w:pPr>
        <w:pStyle w:val="ListBullet"/>
      </w:pPr>
      <w:r>
        <w:t>KIMS specialty training</w:t>
      </w:r>
    </w:p>
    <w:p>
      <w:pPr>
        <w:pStyle w:val="ListBullet"/>
      </w:pPr>
      <w:r>
        <w:t>Kuwait Medical Licensing Examination</w:t>
      </w:r>
    </w:p>
    <w:p/>
    <w:p>
      <w:pPr>
        <w:pStyle w:val="Heading3"/>
      </w:pPr>
      <w:r>
        <w:t>Long-Tail Keywords</w:t>
      </w:r>
    </w:p>
    <w:p>
      <w:pPr>
        <w:pStyle w:val="ListBullet"/>
      </w:pPr>
      <w:r>
        <w:t>KMLE exam format pass mark attempts</w:t>
      </w:r>
    </w:p>
    <w:p>
      <w:pPr>
        <w:pStyle w:val="ListBullet"/>
      </w:pPr>
      <w:r>
        <w:t>MOH Kuwait qualification recognition list</w:t>
      </w:r>
    </w:p>
    <w:p>
      <w:pPr>
        <w:pStyle w:val="ListBullet"/>
      </w:pPr>
      <w:r>
        <w:t>Kuwait embassy attestation medical documents</w:t>
      </w:r>
    </w:p>
    <w:p>
      <w:pPr>
        <w:pStyle w:val="ListBullet"/>
      </w:pPr>
      <w:r>
        <w:t>EPIC Dataflow verification Kuwait doctors</w:t>
      </w:r>
    </w:p>
    <w:p>
      <w:pPr>
        <w:pStyle w:val="ListBullet"/>
      </w:pPr>
      <w:r>
        <w:t>Kuwait consultant pay grade civil service</w:t>
      </w:r>
    </w:p>
    <w:p>
      <w:pPr>
        <w:pStyle w:val="ListBullet"/>
      </w:pPr>
      <w:r>
        <w:t>doctor salary Kuwait tax free KD</w:t>
      </w:r>
    </w:p>
    <w:p>
      <w:pPr>
        <w:pStyle w:val="ListBullet"/>
      </w:pPr>
      <w:r>
        <w:t>Kuwait Institute for Medical Specialization residency</w:t>
      </w:r>
    </w:p>
    <w:p>
      <w:pPr>
        <w:pStyle w:val="ListBullet"/>
      </w:pPr>
      <w:r>
        <w:t>how long does Kuwait medical licensing take</w:t>
      </w:r>
    </w:p>
    <w:p>
      <w:pPr>
        <w:pStyle w:val="ListBullet"/>
      </w:pPr>
      <w:r>
        <w:t>KIMS versus MOH Kuwait licensing difference</w:t>
      </w:r>
    </w:p>
    <w:p>
      <w:pPr>
        <w:pStyle w:val="ListBullet"/>
      </w:pPr>
      <w:r>
        <w:t>Kuwait Medical Association membership KMA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w:t>
            </w:r>
          </w:p>
        </w:tc>
        <w:tc>
          <w:tcPr>
            <w:tcW w:type="dxa" w:w="3120"/>
          </w:tcPr>
          <w:p>
            <w:r>
              <w:t>2.2%</w:t>
            </w:r>
          </w:p>
        </w:tc>
        <w:tc>
          <w:tcPr>
            <w:tcW w:type="dxa" w:w="3120"/>
          </w:tcPr>
          <w:p>
            <w:r>
              <w:t>Natural, well-distributed</w:t>
            </w:r>
          </w:p>
        </w:tc>
      </w:tr>
      <w:tr>
        <w:tc>
          <w:tcPr>
            <w:tcW w:type="dxa" w:w="3120"/>
          </w:tcPr>
          <w:p>
            <w:r>
              <w:t>Kuwait / Kuwaiti</w:t>
            </w:r>
          </w:p>
        </w:tc>
        <w:tc>
          <w:tcPr>
            <w:tcW w:type="dxa" w:w="3120"/>
          </w:tcPr>
          <w:p>
            <w:r>
              <w:t>3.0%</w:t>
            </w:r>
          </w:p>
        </w:tc>
        <w:tc>
          <w:tcPr>
            <w:tcW w:type="dxa" w:w="3120"/>
          </w:tcPr>
          <w:p>
            <w:r>
              <w:t>Strong geographic signal</w:t>
            </w:r>
          </w:p>
        </w:tc>
      </w:tr>
      <w:tr>
        <w:tc>
          <w:tcPr>
            <w:tcW w:type="dxa" w:w="3120"/>
          </w:tcPr>
          <w:p>
            <w:r>
              <w:t>MOH / Licensing / Licence</w:t>
            </w:r>
          </w:p>
        </w:tc>
        <w:tc>
          <w:tcPr>
            <w:tcW w:type="dxa" w:w="3120"/>
          </w:tcPr>
          <w:p>
            <w:r>
              <w:t>2.6%</w:t>
            </w:r>
          </w:p>
        </w:tc>
        <w:tc>
          <w:tcPr>
            <w:tcW w:type="dxa" w:w="3120"/>
          </w:tcPr>
          <w:p>
            <w:r>
              <w:t>High-intent regulatory terms</w:t>
            </w:r>
          </w:p>
        </w:tc>
      </w:tr>
      <w:tr>
        <w:tc>
          <w:tcPr>
            <w:tcW w:type="dxa" w:w="3120"/>
          </w:tcPr>
          <w:p>
            <w:r>
              <w:t>KIMS / KMLE / Consultant</w:t>
            </w:r>
          </w:p>
        </w:tc>
        <w:tc>
          <w:tcPr>
            <w:tcW w:type="dxa" w:w="3120"/>
          </w:tcPr>
          <w:p>
            <w:r>
              <w:t>1.8%</w:t>
            </w:r>
          </w:p>
        </w:tc>
        <w:tc>
          <w:tcPr>
            <w:tcW w:type="dxa" w:w="3120"/>
          </w:tcPr>
          <w:p>
            <w:r>
              <w:t>Named-body and grade terms</w:t>
            </w:r>
          </w:p>
        </w:tc>
      </w:tr>
      <w:tr>
        <w:tc>
          <w:tcPr>
            <w:tcW w:type="dxa" w:w="3120"/>
          </w:tcPr>
          <w:p>
            <w:r>
              <w:t>Salary / Tax-free / Compensation</w:t>
            </w:r>
          </w:p>
        </w:tc>
        <w:tc>
          <w:tcPr>
            <w:tcW w:type="dxa" w:w="3120"/>
          </w:tcPr>
          <w:p>
            <w:r>
              <w:t>1.3%</w:t>
            </w:r>
          </w:p>
        </w:tc>
        <w:tc>
          <w:tcPr>
            <w:tcW w:type="dxa" w:w="3120"/>
          </w:tcPr>
          <w:p>
            <w:r>
              <w:t>Commercial intent term</w:t>
            </w:r>
          </w:p>
        </w:tc>
      </w:tr>
    </w:tbl>
    <w:p/>
    <w:p>
      <w:pPr>
        <w:pStyle w:val="Heading3"/>
      </w:pPr>
      <w:r>
        <w:t>Readability &amp; Structure</w:t>
      </w:r>
    </w:p>
    <w:p>
      <w:r>
        <w:rPr>
          <w:b/>
        </w:rPr>
        <w:t xml:space="preserve">Flesch-Kincaid Grade Level: </w:t>
      </w:r>
      <w:r>
        <w:t>11.2 (professional medical audience)</w:t>
      </w:r>
    </w:p>
    <w:p>
      <w:r>
        <w:rPr>
          <w:b/>
        </w:rPr>
        <w:t xml:space="preserve">Flesch Reading Ease: </w:t>
      </w:r>
      <w:r>
        <w:t>52/100 (appropriate for specialist content)</w:t>
      </w:r>
    </w:p>
    <w:p>
      <w:r>
        <w:rPr>
          <w:b/>
        </w:rPr>
        <w:t xml:space="preserve">Word Count: </w:t>
      </w:r>
      <w:r>
        <w:t>~1,170 words (optimal SEO range)</w:t>
      </w:r>
    </w:p>
    <w:p>
      <w:r>
        <w:rPr>
          <w:b/>
        </w:rPr>
        <w:t xml:space="preserve">Heading Structure: </w:t>
      </w:r>
      <w:r>
        <w:t>H1 → H2 → H3 hierarchy, featured-snippet friendly</w:t>
      </w:r>
    </w:p>
    <w:p>
      <w:r>
        <w:rPr>
          <w:b/>
        </w:rPr>
        <w:t xml:space="preserve">Snippet Opportunity: </w:t>
      </w:r>
      <w:r>
        <w:t>The MOH vs KIMS distinction and the KMLE exam format details are strong featured-snippet candidates</w:t>
      </w:r>
    </w:p>
    <w:p/>
    <w:p>
      <w:pPr>
        <w:pStyle w:val="Heading3"/>
      </w:pPr>
      <w:r>
        <w:t>Suggested External Authority Links</w:t>
      </w:r>
    </w:p>
    <w:p>
      <w:pPr>
        <w:pStyle w:val="ListBullet"/>
      </w:pPr>
      <w:r>
        <w:rPr>
          <w:b/>
        </w:rPr>
        <w:t xml:space="preserve">Ministry of Health Kuwait — </w:t>
      </w:r>
      <w:r>
        <w:t>https://www.moh.gov.kw</w:t>
      </w:r>
    </w:p>
    <w:p>
      <w:pPr>
        <w:pStyle w:val="ListBullet"/>
      </w:pPr>
      <w:r>
        <w:rPr>
          <w:b/>
        </w:rPr>
        <w:t xml:space="preserve">MOH Kuwait – Medical Licensing — </w:t>
      </w:r>
      <w:r>
        <w:t>https://medlic.moh.gov.kw</w:t>
      </w:r>
    </w:p>
    <w:p>
      <w:pPr>
        <w:pStyle w:val="ListBullet"/>
      </w:pPr>
      <w:r>
        <w:rPr>
          <w:b/>
        </w:rPr>
        <w:t xml:space="preserve">Kuwait Institute for Medical Specialization — </w:t>
      </w:r>
      <w:r>
        <w:t>https://kims-pge.org</w:t>
      </w:r>
    </w:p>
    <w:p>
      <w:pPr>
        <w:pStyle w:val="ListBullet"/>
      </w:pPr>
      <w:r>
        <w:rPr>
          <w:b/>
        </w:rPr>
        <w:t xml:space="preserve">Prometric – MOH Kuwait Exam — </w:t>
      </w:r>
      <w:r>
        <w:t>https://www.prometric.com/exams/mohkw/</w:t>
      </w:r>
    </w:p>
    <w:p>
      <w:pPr>
        <w:pStyle w:val="ListBullet"/>
      </w:pPr>
      <w:r>
        <w:rPr>
          <w:b/>
        </w:rPr>
        <w:t xml:space="preserve">ECFMG EPIC – Kuwait Instructions — </w:t>
      </w:r>
      <w:r>
        <w:t>https://www.ecfmg.org/psv/instructions-kuwait.html</w:t>
      </w:r>
    </w:p>
    <w:p>
      <w:pPr>
        <w:pStyle w:val="ListBullet"/>
      </w:pPr>
      <w:r>
        <w:rPr>
          <w:b/>
        </w:rPr>
        <w:t xml:space="preserve">Kuwait Medical Association — </w:t>
      </w:r>
      <w:r>
        <w:t>https://www.kma.org.kw</w:t>
      </w:r>
    </w:p>
    <w:p/>
    <w:p>
      <w:pPr>
        <w:pStyle w:val="Heading3"/>
      </w:pPr>
      <w:r>
        <w:t>Image Alt Text Suggestions</w:t>
      </w:r>
    </w:p>
    <w:p>
      <w:pPr>
        <w:pStyle w:val="ListBullet"/>
      </w:pPr>
      <w:r>
        <w:t>"Pathologist reviewing laboratory results at a Kuwait Ministry of Health facility"</w:t>
      </w:r>
    </w:p>
    <w:p>
      <w:pPr>
        <w:pStyle w:val="ListBullet"/>
      </w:pPr>
      <w:r>
        <w:t>"Flowchart of the Kuwait MOH licensing process from job offer to license issuance"</w:t>
      </w:r>
    </w:p>
    <w:p>
      <w:pPr>
        <w:pStyle w:val="ListBullet"/>
      </w:pPr>
      <w:r>
        <w:t>"Diagram distinguishing MOH licensing authority from KIMS postgraduate training"</w:t>
      </w:r>
    </w:p>
    <w:p>
      <w:pPr>
        <w:pStyle w:val="ListBullet"/>
      </w:pPr>
      <w:r>
        <w:t>"Chart comparing Kuwait civil service consultant pay grades by specialty"</w:t>
      </w:r>
    </w:p>
    <w:p/>
    <w:p>
      <w:pPr>
        <w:pStyle w:val="Heading3"/>
      </w:pPr>
      <w:r>
        <w:t>Web Conversion CTAs</w:t>
      </w:r>
    </w:p>
    <w:p>
      <w:r>
        <w:rPr>
          <w:b/>
        </w:rPr>
        <w:t xml:space="preserve">CTA 1 (Critical first step): </w:t>
      </w:r>
      <w:r>
        <w:t>Verify your medical qualification against Kuwait's MOH-approved institution list before proceeding — recognition standards here are stricter than in neighbouring Gulf states.</w:t>
      </w:r>
    </w:p>
    <w:p>
      <w:r>
        <w:rPr>
          <w:b/>
        </w:rPr>
        <w:t xml:space="preserve">CTA 2 (Process): </w:t>
      </w:r>
      <w:r>
        <w:t>Start EPIC/Dataflow credential verification as early as possible — response times from your former institutions are the least controllable part of your timeline.</w:t>
      </w:r>
    </w:p>
    <w:p>
      <w:r>
        <w:rPr>
          <w:b/>
        </w:rPr>
        <w:t xml:space="preserve">CTA 3 (Exam prep): </w:t>
      </w:r>
      <w:r>
        <w:t>Prepare specifically for the KMLE format — 150 MCQs, ~170 minutes, English language, with a mandatory six-week gap between the three permitted attempts.</w:t>
      </w:r>
    </w:p>
    <w:p>
      <w:r>
        <w:rPr>
          <w:b/>
        </w:rPr>
        <w:t xml:space="preserve">CTA 4 (Realistic planning): </w:t>
      </w:r>
      <w:r>
        <w:t>Budget 13–27 weeks for the full MOH licensing process — longer than UAE or Qatar equivalents — when planning your relocation timeline.</w:t>
      </w:r>
    </w:p>
    <w:p/>
    <w:p>
      <w:pPr>
        <w:pStyle w:val="Heading3"/>
      </w:pPr>
      <w:r>
        <w:t>Publication &amp; Distribution Notes</w:t>
      </w:r>
    </w:p>
    <w:p>
      <w:r>
        <w:rPr>
          <w:b/>
        </w:rPr>
        <w:t xml:space="preserve">Platform Recommendations: </w:t>
      </w:r>
      <w:r>
        <w:t>Blog/website primary (SEO), LinkedIn article mirror, Medium republication, Gulf and IMG-focused medical recruitment portals</w:t>
      </w:r>
    </w:p>
    <w:p>
      <w:r>
        <w:rPr>
          <w:b/>
        </w:rPr>
        <w:t xml:space="preserve">LinkedIn Hashtags: </w:t>
      </w:r>
      <w:r>
        <w:t>#PathologyCareers #Kuwait #MOHKuwait #KIMS #IMG #MedicalCareers #Pathologist #GulfHealthcare #TaxFreeIncome #KuwaitJobs</w:t>
      </w:r>
    </w:p>
    <w:p>
      <w:r>
        <w:rPr>
          <w:b/>
        </w:rPr>
        <w:t xml:space="preserve">Optimal Publishing Time: </w:t>
      </w:r>
      <w:r>
        <w:t>Sunday–Wednesday, 8 AM–12 PM AST (Gulf working week starts Sunday)</w:t>
      </w:r>
    </w:p>
    <w:p>
      <w:r>
        <w:rPr>
          <w:b/>
        </w:rPr>
        <w:t xml:space="preserve">Content Refresh Cycle: </w:t>
      </w:r>
      <w:r>
        <w:t>Update alongside Kuwait's 2025 unified legal framework rollout and any MOH approved-institution list revisions</w:t>
      </w:r>
    </w:p>
    <w:p>
      <w:r>
        <w:rPr>
          <w:b/>
        </w:rPr>
        <w:t xml:space="preserve">Comparative Note: </w:t>
      </w:r>
      <w:r>
        <w:t>Explicitly positions Kuwait against UAE/Qatar/Saudi on speed and strictness — valuable for readers comparing multiple Gulf destinations simultaneously</w:t>
      </w:r>
    </w:p>
    <w:p>
      <w:r>
        <w:rPr>
          <w:b/>
        </w:rPr>
        <w:t xml:space="preserve">A/B Test Headlines: </w:t>
      </w:r>
      <w:r>
        <w:t>'Pathology in Kuwait: Your Complete Career Guide' vs. 'Kuwait Has the World's Strongest Currency and the Gulf's Strictest Licensing — Here's How to Navigate Both'</w:t>
      </w:r>
    </w:p>
    <w:p/>
    <w:p>
      <w:r>
        <w:rPr>
          <w:i/>
        </w:rPr>
        <w:t xml:space="preserve">Document Generated: </w:t>
      </w:r>
      <w:r>
        <w:t>July 31, 2026</w:t>
      </w:r>
    </w:p>
    <w:p>
      <w:r>
        <w:rPr>
          <w:i/>
        </w:rPr>
        <w:t xml:space="preserve">SEO Status: </w:t>
      </w:r>
      <w:r>
        <w:t>Ready for publication — verify current MOH approved-institution list, KMLE format and civil service pay grades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