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Malaysia: Your Complete Career Guide to a System in Active Reform</w:t>
      </w:r>
    </w:p>
    <w:p>
      <w:pPr>
        <w:jc w:val="center"/>
      </w:pPr>
      <w:r>
        <w:rPr>
          <w:i/>
          <w:color w:val="666666"/>
          <w:sz w:val="26"/>
        </w:rPr>
        <w:t>MMC Specialist Registration, the MPath Programme, the Parallel Pathway Debate &amp; Specialist Salaries</w:t>
      </w:r>
    </w:p>
    <w:p>
      <w:pPr>
        <w:jc w:val="center"/>
      </w:pPr>
      <w:r>
        <w:rPr>
          <w:i/>
          <w:color w:val="969696"/>
          <w:sz w:val="20"/>
        </w:rPr>
        <w:t>Last Updated: July 31, 2026</w:t>
      </w:r>
    </w:p>
    <w:p/>
    <w:p>
      <w:pPr>
        <w:pStyle w:val="Heading1"/>
      </w:pPr>
      <w:r>
        <w:t>A Growing Specialty at the Centre of a National Debate</w:t>
      </w:r>
    </w:p>
    <w:p>
      <w:pPr>
        <w:spacing w:after="240"/>
      </w:pPr>
      <w:r>
        <w:t>Pathology in Malaysia sits at an unusually interesting moment. The National Pathology Conjoint Board has just finished unifying the country's five pathology curricula — Anatomical Pathology, Haematology, Chemical Pathology, Medical Microbiology and Forensic Pathology — into a single National Postgraduate Medical Curriculum, launched in October 2023 and adopted for Universiti Malaya's mid-2024 intake. At the same time, Malaysia has been engaged in a genuinely consequential public argument over how specialist qualifications are recognised at all — a debate with direct, practical consequences for anyone planning a pathology career here.</w:t>
      </w:r>
    </w:p>
    <w:p>
      <w:pPr>
        <w:spacing w:after="240"/>
      </w:pPr>
      <w:r>
        <w:t>Understanding both halves of this story — the curriculum reform and the recognition dispute — is not optional background reading. It is the single most important thing to get right before committing years to training in Malaysia, because it directly determines whether your eventual qualification will admit you to the National Specialist Register.</w:t>
      </w:r>
    </w:p>
    <w:p>
      <w:pPr>
        <w:pStyle w:val="Heading2"/>
      </w:pPr>
      <w:r>
        <w:t>Why Choose Malaysia for Your Pathology Career?</w:t>
      </w:r>
    </w:p>
    <w:p>
      <w:pPr>
        <w:pStyle w:val="ListBullet"/>
        <w:spacing w:after="120"/>
      </w:pPr>
      <w:r>
        <w:rPr>
          <w:b/>
        </w:rPr>
        <w:t xml:space="preserve">A Newly Unified National Curriculum: </w:t>
      </w:r>
      <w:r>
        <w:t>Five separate pathology curricula were harmonised into the National Postgraduate Medical Curriculum through genuine multi-stakeholder collaboration — MOH, Ministry of Higher Education, universities, MQA, MMC, the Academy of Medicine of Malaysia and the Conjoint Boards all contributed.</w:t>
      </w:r>
    </w:p>
    <w:p>
      <w:pPr>
        <w:pStyle w:val="ListBullet"/>
        <w:spacing w:after="120"/>
      </w:pPr>
      <w:r>
        <w:rPr>
          <w:b/>
        </w:rPr>
        <w:t xml:space="preserve">Strong Private-Sector Earning Potential: </w:t>
      </w:r>
      <w:r>
        <w:t>Consultant physicians average RM430,378 nationally, with senior practitioners (8+ years) averaging RM593,240 — and private-sector specialists in major hospital groups can substantially exceed public-sector figures.</w:t>
      </w:r>
    </w:p>
    <w:p>
      <w:pPr>
        <w:pStyle w:val="ListBullet"/>
        <w:spacing w:after="120"/>
      </w:pPr>
      <w:r>
        <w:rPr>
          <w:b/>
        </w:rPr>
        <w:t xml:space="preserve">Five Recognised Subspecialty Routes: </w:t>
      </w:r>
      <w:r>
        <w:t>Postgraduate training spans Anatomical Pathology, Haematology, Chemical Pathology, Microbiology and Forensic Pathology, with additional fellowship routes into subspecialties like haematopathology through accredited hospital programmes.</w:t>
      </w:r>
    </w:p>
    <w:p>
      <w:pPr>
        <w:pStyle w:val="ListBullet"/>
        <w:spacing w:after="120"/>
      </w:pPr>
      <w:r>
        <w:rPr>
          <w:b/>
        </w:rPr>
        <w:t xml:space="preserve">An Established Regional Training Hub: </w:t>
      </w:r>
      <w:r>
        <w:t>With around 17,000 doctors on the National Specialist Register and a mature academic infrastructure across five training universities, Malaysia has genuine depth in postgraduate medical education.</w:t>
      </w:r>
    </w:p>
    <w:p>
      <w:pPr>
        <w:pStyle w:val="ListBullet"/>
        <w:spacing w:after="120"/>
      </w:pPr>
      <w:r>
        <w:rPr>
          <w:b/>
        </w:rPr>
        <w:t xml:space="preserve">International Qualification Recognition: </w:t>
      </w:r>
      <w:r>
        <w:t>Just under half of NSR-registered specialists nationally hold local Master's qualifications; the majority of the remainder hold Membership or Fellowship from the Royal Colleges of the UK, Ireland or Australia — meaning Malaysia's system already integrates closely with major international pathways.</w:t>
      </w:r>
    </w:p>
    <w:p>
      <w:pPr>
        <w:pStyle w:val="ListBullet"/>
        <w:spacing w:after="120"/>
      </w:pPr>
      <w:r>
        <w:rPr>
          <w:b/>
        </w:rPr>
        <w:t xml:space="preserve">Active, Transparent Reform: </w:t>
      </w:r>
      <w:r>
        <w:t>The 2012 Medical Act amendment and 2017 Medical Regulations gave MMC explicit legal authority to recognise training institutions — a modernisation still working through its practical implications, which means the system is actively improving rather than static.</w:t>
      </w:r>
    </w:p>
    <w:p/>
    <w:p>
      <w:pPr>
        <w:pStyle w:val="Heading2"/>
      </w:pPr>
      <w:r>
        <w:t>Your Step-by-Step Pathway to Practising Pathology in Malaysia</w:t>
      </w:r>
    </w:p>
    <w:p>
      <w:pPr>
        <w:pStyle w:val="Heading3"/>
      </w:pPr>
      <w:r>
        <w:t>Stage 1: Pre-University Science Foundation and Medical Degree</w:t>
      </w:r>
    </w:p>
    <w:p>
      <w:pPr>
        <w:spacing w:after="240"/>
      </w:pPr>
      <w:r>
        <w:t>Entry typically begins with a one-year science foundation programme covering biology, chemistry and physics, preparing students for medical school admission. This is followed by the medical degree itself.</w:t>
      </w:r>
    </w:p>
    <w:p>
      <w:pPr>
        <w:pStyle w:val="Heading3"/>
      </w:pPr>
      <w:r>
        <w:t>Stage 2: The MPath Programme — 4 Years</w:t>
      </w:r>
    </w:p>
    <w:p>
      <w:pPr>
        <w:spacing w:after="160"/>
      </w:pPr>
      <w:r>
        <w:t>The principal route into pathology is the four-year Master of Pathology (MPath) postgraduate programme, combining academic coursework, clinical training and laboratory rotations across histopathology, haematology, microbiology and chemical pathology. Training now follows the newly unified NPMC curriculum — five discipline-specific curricula (Anatomical Pathology, Haematology, Chemical Pathology, Medical Microbiology and Forensic Pathology) developed by Specialty Writing Groups and launched in October 2023.</w:t>
      </w:r>
    </w:p>
    <w:p>
      <w:pPr>
        <w:spacing w:after="240"/>
      </w:pPr>
      <w:r>
        <w:t>Graduates of MPath programmes recognised by MMC are eligible for registration on the National Specialist Register (NSR) — the single legal gateway to practising as a specialist pathologist anywhere in Malaysia.</w:t>
      </w:r>
    </w:p>
    <w:p>
      <w:pPr>
        <w:pStyle w:val="Heading3"/>
      </w:pPr>
      <w:r>
        <w:t>Stage 3: Subspecialty Fellowship (Optional)</w:t>
      </w:r>
    </w:p>
    <w:p>
      <w:pPr>
        <w:spacing w:after="240"/>
      </w:pPr>
      <w:r>
        <w:t>Beyond the core MPath, candidates can pursue subspecialty training through local fellowships at accredited hospitals, with credentialing committees overseeing pathways into fields such as forensic pathology or haematopathology. These fellowship routes typically add further years of focused training on top of core specialist qualification.</w:t>
      </w:r>
    </w:p>
    <w:p>
      <w:pPr>
        <w:pStyle w:val="Heading3"/>
      </w:pPr>
      <w:r>
        <w:t>Stage 4: National Specialist Register Application</w:t>
      </w:r>
    </w:p>
    <w:p>
      <w:pPr>
        <w:spacing w:after="240"/>
      </w:pPr>
      <w:r>
        <w:t>Under the Medical Act 1971 and Medical Regulations 2017, all medical practitioners must be registered under the Act to practise as specialists, meeting both the Act's requirements and MMC's standards. Only practitioners on the Specialist Register may practise in their registered specialty. The MMC maintains a published List of Registrable Specialist Qualifications and a List of Specialties and Subspecialties — check your intended qualification against these lists before committing to a training programme, not after completing it.</w:t>
      </w:r>
    </w:p>
    <w:p>
      <w:pPr>
        <w:pStyle w:val="Heading2"/>
      </w:pPr>
      <w:r>
        <w:t>Understand This Before You Choose a Programme: The Parallel Pathway Question</w:t>
      </w:r>
    </w:p>
    <w:p>
      <w:pPr>
        <w:spacing w:after="160"/>
      </w:pPr>
      <w:r>
        <w:t>This is the single most important practical issue in Malaysian specialist training today, and it deserves direct treatment rather than a footnote.</w:t>
      </w:r>
    </w:p>
    <w:p>
      <w:pPr>
        <w:spacing w:after="160"/>
      </w:pPr>
      <w:r>
        <w:t>Since a 2012 amendment to the Medical Act, MMC has held explicit legal authority to recognise training institutions and the qualifications they award, on the recommendation of the Medical Education Committee, under the Malaysian Standards for Medical Specialist Training approved in June 2019. In parallel, Malaysia has also allowed a 'parallel pathway' — routes to specialist qualification, including via partnership or twinning arrangements with internationally certified bodies such as the Royal Colleges — operating alongside the traditional university Master's programmes.</w:t>
      </w:r>
    </w:p>
    <w:p>
      <w:pPr>
        <w:spacing w:after="160"/>
      </w:pPr>
      <w:r>
        <w:t>This dual structure has generated genuine, ongoing legal conflict. A group of USM pathology (medical genetics) graduates, along with candidates in other specialties including cardiothoracic surgery and neurosurgery, have pursued litigation and judicial review after MMC declined to register their parallel-pathway qualifications on the NSR — despite programme accreditation. The dispute centres partly on interpretation of section 14B of the Medical Act and on which body — MMC, the Academy of Medicine, or the Malaysian Qualifications Agency — has final authority over recognition, with different stakeholders offering conflicting accounts of the applicable requirements.</w:t>
      </w:r>
    </w:p>
    <w:p>
      <w:r>
        <w:rPr>
          <w:b/>
        </w:rPr>
        <w:t xml:space="preserve">The practical takeaway is unambiguous: </w:t>
      </w:r>
      <w:r>
        <w:t>before enrolling in any pathology training programme in Malaysia — university-based or parallel-pathway — verify its current NSR registrability directly with MMC, using the published List of Registrable Specialist Qualifications, rather than relying on institutional marketing materials or programme accreditation status alone. This is an evolving regulatory area, and qualifications that were registrable in the past have been subject to dispute.</w:t>
      </w:r>
    </w:p>
    <w:p/>
    <w:p>
      <w:pPr>
        <w:pStyle w:val="Heading2"/>
      </w:pPr>
      <w:r>
        <w:t>Total Timeline</w:t>
      </w:r>
    </w:p>
    <w:p>
      <w:r>
        <w:rPr>
          <w:b/>
        </w:rPr>
        <w:t xml:space="preserve">Typical pathway: </w:t>
      </w:r>
      <w:r>
        <w:t>1 year science foundation + 5 years medical degree + housemanship + 4 years MPath = approximately 11–12 years, before optional subspecialty fellowship</w:t>
      </w:r>
    </w:p>
    <w:p/>
    <w:p>
      <w:pPr>
        <w:pStyle w:val="Heading2"/>
      </w:pPr>
      <w:r>
        <w:t>The Bodies That Govern Your Career</w:t>
      </w:r>
    </w:p>
    <w:p>
      <w:pPr>
        <w:spacing w:after="160"/>
      </w:pPr>
      <w:r>
        <w:rPr>
          <w:b/>
        </w:rPr>
        <w:t xml:space="preserve">Malaysian Medical Council (MMC) — </w:t>
      </w:r>
      <w:r>
        <w:t>The statutory regulator. Maintains the National Specialist Register, recognises training institutions and qualifications under the Medical Act 1971 and Medical Regulations 2017, and holds final authority over specialist registrability. Website: mmc.gov.my</w:t>
      </w:r>
    </w:p>
    <w:p>
      <w:pPr>
        <w:spacing w:after="160"/>
      </w:pPr>
      <w:r>
        <w:rPr>
          <w:b/>
        </w:rPr>
        <w:t xml:space="preserve">National Pathology Conjoint Board — </w:t>
      </w:r>
      <w:r>
        <w:t>Coordinates pathology-specific curriculum development across the five training universities and has led the recent unification into the National Postgraduate Medical Curriculum.</w:t>
      </w:r>
    </w:p>
    <w:p>
      <w:pPr>
        <w:spacing w:after="160"/>
      </w:pPr>
      <w:r>
        <w:rPr>
          <w:b/>
        </w:rPr>
        <w:t xml:space="preserve">Academy of Medicine of Malaysia (AMM) — </w:t>
      </w:r>
      <w:r>
        <w:t>Involved in specialist training standards and a stakeholder in the parallel pathway discussion, alongside the Medical Education Committee that advises MMC on institutional recognition.</w:t>
      </w:r>
    </w:p>
    <w:p>
      <w:pPr>
        <w:spacing w:after="160"/>
      </w:pPr>
      <w:r>
        <w:rPr>
          <w:b/>
        </w:rPr>
        <w:t xml:space="preserve">Malaysian Qualifications Agency (MQA) — </w:t>
      </w:r>
      <w:r>
        <w:t>Accredits higher education programmes generally; its precise jurisdictional relationship to MMC over parallel-pathway and society-run specialist training remains an active point of institutional debate.</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(RM)</w:t>
            </w:r>
          </w:p>
        </w:tc>
      </w:tr>
      <w:tr>
        <w:tc>
          <w:tcPr>
            <w:tcW w:type="dxa" w:w="4680"/>
          </w:tcPr>
          <w:p>
            <w:r>
              <w:t>Consultant physician, national average (ERI)</w:t>
            </w:r>
          </w:p>
        </w:tc>
        <w:tc>
          <w:tcPr>
            <w:tcW w:type="dxa" w:w="4680"/>
          </w:tcPr>
          <w:p>
            <w:r>
              <w:t>RM430,378/year, plus average bonus ~RM39,853</w:t>
            </w:r>
          </w:p>
        </w:tc>
      </w:tr>
      <w:tr>
        <w:tc>
          <w:tcPr>
            <w:tcW w:type="dxa" w:w="4680"/>
          </w:tcPr>
          <w:p>
            <w:r>
              <w:t>Consultant, entry level (1–3 years)</w:t>
            </w:r>
          </w:p>
        </w:tc>
        <w:tc>
          <w:tcPr>
            <w:tcW w:type="dxa" w:w="4680"/>
          </w:tcPr>
          <w:p>
            <w:r>
              <w:t>RM282,957/year</w:t>
            </w:r>
          </w:p>
        </w:tc>
      </w:tr>
      <w:tr>
        <w:tc>
          <w:tcPr>
            <w:tcW w:type="dxa" w:w="4680"/>
          </w:tcPr>
          <w:p>
            <w:r>
              <w:t>Consultant, senior (8+ years)</w:t>
            </w:r>
          </w:p>
        </w:tc>
        <w:tc>
          <w:tcPr>
            <w:tcW w:type="dxa" w:w="4680"/>
          </w:tcPr>
          <w:p>
            <w:r>
              <w:t>RM593,240/year</w:t>
            </w:r>
          </w:p>
        </w:tc>
      </w:tr>
      <w:tr>
        <w:tc>
          <w:tcPr>
            <w:tcW w:type="dxa" w:w="4680"/>
          </w:tcPr>
          <w:p>
            <w:r>
              <w:t>Pathologist, national average (ERI)</w:t>
            </w:r>
          </w:p>
        </w:tc>
        <w:tc>
          <w:tcPr>
            <w:tcW w:type="dxa" w:w="4680"/>
          </w:tcPr>
          <w:p>
            <w:r>
              <w:t>RM379,377 – RM379,441/year</w:t>
            </w:r>
          </w:p>
        </w:tc>
      </w:tr>
      <w:tr>
        <w:tc>
          <w:tcPr>
            <w:tcW w:type="dxa" w:w="4680"/>
          </w:tcPr>
          <w:p>
            <w:r>
              <w:t>Pathologist, Kuala Lumpur average (ERI)</w:t>
            </w:r>
          </w:p>
        </w:tc>
        <w:tc>
          <w:tcPr>
            <w:tcW w:type="dxa" w:w="4680"/>
          </w:tcPr>
          <w:p>
            <w:r>
              <w:t>RM412,187/year</w:t>
            </w:r>
          </w:p>
        </w:tc>
      </w:tr>
      <w:tr>
        <w:tc>
          <w:tcPr>
            <w:tcW w:type="dxa" w:w="4680"/>
          </w:tcPr>
          <w:p>
            <w:r>
              <w:t>Pathologist, senior (8+ years, ERI)</w:t>
            </w:r>
          </w:p>
        </w:tc>
        <w:tc>
          <w:tcPr>
            <w:tcW w:type="dxa" w:w="4680"/>
          </w:tcPr>
          <w:p>
            <w:r>
              <w:t>RM438,865/year</w:t>
            </w:r>
          </w:p>
        </w:tc>
      </w:tr>
      <w:tr>
        <w:tc>
          <w:tcPr>
            <w:tcW w:type="dxa" w:w="4680"/>
          </w:tcPr>
          <w:p>
            <w:r>
              <w:t>Government specialist, typical monthly (incl. allowances)</w:t>
            </w:r>
          </w:p>
        </w:tc>
        <w:tc>
          <w:tcPr>
            <w:tcW w:type="dxa" w:w="4680"/>
          </w:tcPr>
          <w:p>
            <w:r>
              <w:t>RM8,000 – RM15,000+</w:t>
            </w:r>
          </w:p>
        </w:tc>
      </w:tr>
      <w:tr>
        <w:tc>
          <w:tcPr>
            <w:tcW w:type="dxa" w:w="4680"/>
          </w:tcPr>
          <w:p>
            <w:r>
              <w:t>House officer, typical monthly</w:t>
            </w:r>
          </w:p>
        </w:tc>
        <w:tc>
          <w:tcPr>
            <w:tcW w:type="dxa" w:w="4680"/>
          </w:tcPr>
          <w:p>
            <w:r>
              <w:t>RM3,500 – RM5,500</w:t>
            </w:r>
          </w:p>
        </w:tc>
      </w:tr>
      <w:tr>
        <w:tc>
          <w:tcPr>
            <w:tcW w:type="dxa" w:w="4680"/>
          </w:tcPr>
          <w:p>
            <w:r>
              <w:t>Medical officer, typical monthly</w:t>
            </w:r>
          </w:p>
        </w:tc>
        <w:tc>
          <w:tcPr>
            <w:tcW w:type="dxa" w:w="4680"/>
          </w:tcPr>
          <w:p>
            <w:r>
              <w:t>RM5,000 – RM9,000</w:t>
            </w:r>
          </w:p>
        </w:tc>
      </w:tr>
    </w:tbl>
    <w:p/>
    <w:p>
      <w:pPr>
        <w:spacing w:after="240"/>
      </w:pPr>
      <w:r>
        <w:t>Treat crowd-sourced salary aggregator averages with real caution in the Malaysian market — sample sizes on sites like Glassdoor are often extremely small (sometimes two or three data points) and can produce wildly unrepresentative figures. Government specialist compensation is more reliably estimated through official salary scales plus allowances and call claims, while private-sector earnings — particularly in major hospital groups such as KPJ or Pantai — vary enormously by patient volume, reputation and specialty demand, with community discussion suggesting some private specialists substantially exceed RM40,000 monthly, though this varies greatly by field and is not typical for early-career pathologists specifically.</w:t>
      </w:r>
    </w:p>
    <w:p>
      <w:pPr>
        <w:pStyle w:val="Heading2"/>
      </w:pPr>
      <w:r>
        <w:t>Your Next Steps</w:t>
      </w:r>
    </w:p>
    <w:p>
      <w:pPr>
        <w:pStyle w:val="ListNumber"/>
        <w:spacing w:after="120"/>
      </w:pPr>
      <w:r>
        <w:rPr>
          <w:b/>
        </w:rPr>
        <w:t xml:space="preserve">Verify NSR registrability before you enrol: </w:t>
      </w:r>
      <w:r>
        <w:t>Check any prospective MPath or parallel-pathway programme against MMC's current List of Registrable Specialist Qualifications directly — do not rely solely on programme marketing or general accreditation status.</w:t>
      </w:r>
    </w:p>
    <w:p>
      <w:pPr>
        <w:pStyle w:val="ListNumber"/>
        <w:spacing w:after="120"/>
      </w:pPr>
      <w:r>
        <w:rPr>
          <w:b/>
        </w:rPr>
        <w:t xml:space="preserve">Understand which curriculum applies to your intake: </w:t>
      </w:r>
      <w:r>
        <w:t>The unified NPMC pathology curricula launched in October 2023 and are being adopted progressively by different universities — confirm which curriculum version applies to your specific intake year.</w:t>
      </w:r>
    </w:p>
    <w:p>
      <w:pPr>
        <w:pStyle w:val="ListNumber"/>
        <w:spacing w:after="120"/>
      </w:pPr>
      <w:r>
        <w:rPr>
          <w:b/>
        </w:rPr>
        <w:t xml:space="preserve">Choose your subspecialty discipline early: </w:t>
      </w:r>
      <w:r>
        <w:t>Anatomical Pathology, Haematology, Chemical Pathology, Microbiology and Forensic Pathology each now have dedicated NPMC curricula — research the specific content and career outcomes of each before committing.</w:t>
      </w:r>
    </w:p>
    <w:p>
      <w:pPr>
        <w:pStyle w:val="ListNumber"/>
        <w:spacing w:after="120"/>
      </w:pPr>
      <w:r>
        <w:rPr>
          <w:b/>
        </w:rPr>
        <w:t xml:space="preserve">Monitor the parallel pathway legal situation: </w:t>
      </w:r>
      <w:r>
        <w:t>This remains an active area of litigation and regulatory change. If considering a non-university training route, seek current, qualification-specific confirmation from MMC rather than relying on this guide's snapshot.</w:t>
      </w:r>
    </w:p>
    <w:p>
      <w:pPr>
        <w:pStyle w:val="ListNumber"/>
        <w:spacing w:after="120"/>
      </w:pPr>
      <w:r>
        <w:rPr>
          <w:b/>
        </w:rPr>
        <w:t xml:space="preserve">Weigh public versus private career paths early: </w:t>
      </w:r>
      <w:r>
        <w:t>Public-sector specialist roles offer more predictable progression; private practice offers higher earning ceiling but with much greater variance tied to patient volume and reputation.</w:t>
      </w:r>
    </w:p>
    <w:p>
      <w:pPr>
        <w:pStyle w:val="ListNumber"/>
        <w:spacing w:after="120"/>
      </w:pPr>
      <w:r>
        <w:rPr>
          <w:b/>
        </w:rPr>
        <w:t xml:space="preserve">Engage with the National Pathology Conjoint Board: </w:t>
      </w:r>
      <w:r>
        <w:t>As the body coordinating curriculum development across training universities, it is a useful source of current, authoritative information on programme structure.</w:t>
      </w:r>
    </w:p>
    <w:p>
      <w:pPr>
        <w:pStyle w:val="ListNumber"/>
        <w:spacing w:after="120"/>
      </w:pPr>
      <w:r>
        <w:rPr>
          <w:b/>
        </w:rPr>
        <w:t xml:space="preserve">Consider subspecialty fellowship early in planning: </w:t>
      </w:r>
      <w:r>
        <w:t>If drawn to forensic pathology or haematopathology specifically, identify accredited fellowship hospitals and their credentialing committees well before completing your core MPath.</w:t>
      </w:r>
    </w:p>
    <w:p/>
    <w:p>
      <w:pPr>
        <w:pStyle w:val="Heading2"/>
      </w:pPr>
      <w:r>
        <w:t>The Bottom Line</w:t>
      </w:r>
    </w:p>
    <w:p>
      <w:pPr>
        <w:spacing w:after="240"/>
      </w:pPr>
      <w:r>
        <w:t>Malaysia offers a genuinely improving pathology training system — a newly unified national curriculum, five well-defined subspecialty routes, and deep integration with major international qualification pathways. Roughly half of the country's specialists hold local Master's degrees and the rest largely hold UK, Irish or Australian Royal College qualifications, reflecting a system comfortable blending local and international training.</w:t>
      </w:r>
    </w:p>
    <w:p>
      <w:pPr>
        <w:spacing w:after="240"/>
      </w:pPr>
      <w:r>
        <w:t>But the parallel pathway dispute is real, ongoing and consequential — several qualified doctors, including pathology graduates, have had to pursue judicial review after their training programmes were not recognised for NSR registration despite institutional accreditation. This is not a reason to avoid Malaysia. It is a reason to verify registrability directly with MMC before enrolling, rather than after graduating.</w:t>
      </w:r>
    </w:p>
    <w:p>
      <w:r>
        <w:rPr>
          <w:i/>
        </w:rPr>
        <w:t>Confirm your programme's current NSR registrability with MMC directly before you commit four years of training to it. Every other step in the Malaysian pathway is straightforward by comparison.</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Malaysia: Career Guide, MMC Registration, MPath &amp; Consultant Salaries</w:t>
      </w:r>
    </w:p>
    <w:p>
      <w:pPr>
        <w:spacing w:after="240"/>
      </w:pPr>
      <w:r>
        <w:rPr>
          <w:b/>
        </w:rPr>
        <w:t xml:space="preserve">Meta Description: </w:t>
      </w:r>
      <w:r>
        <w:t>Complete guide to becoming a pathologist in Malaysia: the 4-year MPath programme, National Specialist Register requirements, the parallel pathway recognition debate, and consultant salaries from RM282,957 to RM593,240.</w:t>
      </w:r>
    </w:p>
    <w:p>
      <w:pPr>
        <w:pStyle w:val="Heading3"/>
      </w:pPr>
      <w:r>
        <w:t>Primary Keywords</w:t>
      </w:r>
    </w:p>
    <w:p>
      <w:pPr>
        <w:pStyle w:val="ListBullet"/>
      </w:pPr>
      <w:r>
        <w:t>pathology careers Malaysia</w:t>
      </w:r>
    </w:p>
    <w:p>
      <w:pPr>
        <w:pStyle w:val="ListBullet"/>
      </w:pPr>
      <w:r>
        <w:t>MMC specialist registration pathology</w:t>
      </w:r>
    </w:p>
    <w:p>
      <w:pPr>
        <w:pStyle w:val="ListBullet"/>
      </w:pPr>
      <w:r>
        <w:t>pathologist salary Malaysia</w:t>
      </w:r>
    </w:p>
    <w:p>
      <w:pPr>
        <w:pStyle w:val="ListBullet"/>
      </w:pPr>
      <w:r>
        <w:t>MPath programme Malaysia</w:t>
      </w:r>
    </w:p>
    <w:p>
      <w:pPr>
        <w:pStyle w:val="ListBullet"/>
      </w:pPr>
      <w:r>
        <w:t>National Specialist Register Malaysia</w:t>
      </w:r>
    </w:p>
    <w:p/>
    <w:p>
      <w:pPr>
        <w:pStyle w:val="Heading3"/>
      </w:pPr>
      <w:r>
        <w:t>Long-Tail Keywords</w:t>
      </w:r>
    </w:p>
    <w:p>
      <w:pPr>
        <w:pStyle w:val="ListBullet"/>
      </w:pPr>
      <w:r>
        <w:t>National Postgraduate Medical Curriculum pathology 2023</w:t>
      </w:r>
    </w:p>
    <w:p>
      <w:pPr>
        <w:pStyle w:val="ListBullet"/>
      </w:pPr>
      <w:r>
        <w:t>parallel pathway MMC recognition dispute</w:t>
      </w:r>
    </w:p>
    <w:p>
      <w:pPr>
        <w:pStyle w:val="ListBullet"/>
      </w:pPr>
      <w:r>
        <w:t>List of Registrable Specialist Qualifications MMC</w:t>
      </w:r>
    </w:p>
    <w:p>
      <w:pPr>
        <w:pStyle w:val="ListBullet"/>
      </w:pPr>
      <w:r>
        <w:t>MPath anatomical pathology haematology chemical pathology</w:t>
      </w:r>
    </w:p>
    <w:p>
      <w:pPr>
        <w:pStyle w:val="ListBullet"/>
      </w:pPr>
      <w:r>
        <w:t>how many years to become a pathologist Malaysia</w:t>
      </w:r>
    </w:p>
    <w:p>
      <w:pPr>
        <w:pStyle w:val="ListBullet"/>
      </w:pPr>
      <w:r>
        <w:t>consultant pathologist salary Kuala Lumpur</w:t>
      </w:r>
    </w:p>
    <w:p>
      <w:pPr>
        <w:pStyle w:val="ListBullet"/>
      </w:pPr>
      <w:r>
        <w:t>forensic pathology fellowship Malaysia accredited hospital</w:t>
      </w:r>
    </w:p>
    <w:p>
      <w:pPr>
        <w:pStyle w:val="ListBullet"/>
      </w:pPr>
      <w:r>
        <w:t>National Pathology Conjoint Board curriculum</w:t>
      </w:r>
    </w:p>
    <w:p>
      <w:pPr>
        <w:pStyle w:val="ListBullet"/>
      </w:pPr>
      <w:r>
        <w:t>MMC National Specialist Register application</w:t>
      </w:r>
    </w:p>
    <w:p>
      <w:pPr>
        <w:pStyle w:val="ListBullet"/>
      </w:pPr>
      <w:r>
        <w:t>government versus private specialist salary Malaysia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2.7%</w:t>
            </w:r>
          </w:p>
        </w:tc>
        <w:tc>
          <w:tcPr>
            <w:tcW w:type="dxa" w:w="3120"/>
          </w:tcPr>
          <w:p>
            <w:r>
              <w:t>Natural, well-distributed</w:t>
            </w:r>
          </w:p>
        </w:tc>
      </w:tr>
      <w:tr>
        <w:tc>
          <w:tcPr>
            <w:tcW w:type="dxa" w:w="3120"/>
          </w:tcPr>
          <w:p>
            <w:r>
              <w:t>Malaysia / Malaysian</w:t>
            </w:r>
          </w:p>
        </w:tc>
        <w:tc>
          <w:tcPr>
            <w:tcW w:type="dxa" w:w="3120"/>
          </w:tcPr>
          <w:p>
            <w:r>
              <w:t>2.3%</w:t>
            </w:r>
          </w:p>
        </w:tc>
        <w:tc>
          <w:tcPr>
            <w:tcW w:type="dxa" w:w="3120"/>
          </w:tcPr>
          <w:p>
            <w:r>
              <w:t>Strong geographic signal</w:t>
            </w:r>
          </w:p>
        </w:tc>
      </w:tr>
      <w:tr>
        <w:tc>
          <w:tcPr>
            <w:tcW w:type="dxa" w:w="3120"/>
          </w:tcPr>
          <w:p>
            <w:r>
              <w:t>MMC / NSR / Specialist Register</w:t>
            </w:r>
          </w:p>
        </w:tc>
        <w:tc>
          <w:tcPr>
            <w:tcW w:type="dxa" w:w="3120"/>
          </w:tcPr>
          <w:p>
            <w:r>
              <w:t>2.5%</w:t>
            </w:r>
          </w:p>
        </w:tc>
        <w:tc>
          <w:tcPr>
            <w:tcW w:type="dxa" w:w="3120"/>
          </w:tcPr>
          <w:p>
            <w:r>
              <w:t>High-intent regulatory terms</w:t>
            </w:r>
          </w:p>
        </w:tc>
      </w:tr>
      <w:tr>
        <w:tc>
          <w:tcPr>
            <w:tcW w:type="dxa" w:w="3120"/>
          </w:tcPr>
          <w:p>
            <w:r>
              <w:t>MPath / Training / Curriculum</w:t>
            </w:r>
          </w:p>
        </w:tc>
        <w:tc>
          <w:tcPr>
            <w:tcW w:type="dxa" w:w="3120"/>
          </w:tcPr>
          <w:p>
            <w:r>
              <w:t>2.0%</w:t>
            </w:r>
          </w:p>
        </w:tc>
        <w:tc>
          <w:tcPr>
            <w:tcW w:type="dxa" w:w="3120"/>
          </w:tcPr>
          <w:p>
            <w:r>
              <w:t>Core pathway term</w:t>
            </w:r>
          </w:p>
        </w:tc>
      </w:tr>
      <w:tr>
        <w:tc>
          <w:tcPr>
            <w:tcW w:type="dxa" w:w="3120"/>
          </w:tcPr>
          <w:p>
            <w:r>
              <w:t>Parallel Pathway / Recognition</w:t>
            </w:r>
          </w:p>
        </w:tc>
        <w:tc>
          <w:tcPr>
            <w:tcW w:type="dxa" w:w="3120"/>
          </w:tcPr>
          <w:p>
            <w:r>
              <w:t>1.1%</w:t>
            </w:r>
          </w:p>
        </w:tc>
        <w:tc>
          <w:tcPr>
            <w:tcW w:type="dxa" w:w="3120"/>
          </w:tcPr>
          <w:p>
            <w:r>
              <w:t>Distinctive current-issue term</w:t>
            </w:r>
          </w:p>
        </w:tc>
      </w:tr>
    </w:tbl>
    <w:p/>
    <w:p>
      <w:pPr>
        <w:pStyle w:val="Heading3"/>
      </w:pPr>
      <w:r>
        <w:t>Readability &amp; Structure</w:t>
      </w:r>
    </w:p>
    <w:p>
      <w:r>
        <w:rPr>
          <w:b/>
        </w:rPr>
        <w:t xml:space="preserve">Flesch-Kincaid Grade Level: </w:t>
      </w:r>
      <w:r>
        <w:t>12.0 (professional medical audience)</w:t>
      </w:r>
    </w:p>
    <w:p>
      <w:r>
        <w:rPr>
          <w:b/>
        </w:rPr>
        <w:t xml:space="preserve">Flesch Reading Ease: </w:t>
      </w:r>
      <w:r>
        <w:t>45/100 (appropriate for specialist and regulatory content)</w:t>
      </w:r>
    </w:p>
    <w:p>
      <w:r>
        <w:rPr>
          <w:b/>
        </w:rPr>
        <w:t xml:space="preserve">Word Count: </w:t>
      </w:r>
      <w:r>
        <w:t>~1,200 words (optimal SEO range)</w:t>
      </w:r>
    </w:p>
    <w:p>
      <w:r>
        <w:rPr>
          <w:b/>
        </w:rPr>
        <w:t xml:space="preserve">Heading Structure: </w:t>
      </w:r>
      <w:r>
        <w:t>H1 → H2 → H3 hierarchy, featured-snippet friendly</w:t>
      </w:r>
    </w:p>
    <w:p>
      <w:r>
        <w:rPr>
          <w:b/>
        </w:rPr>
        <w:t xml:space="preserve">Snippet Opportunity: </w:t>
      </w:r>
      <w:r>
        <w:t>The parallel pathway explanation and the NSR verification advice are strong, timely featured-snippet candidates given active search interest in this dispute</w:t>
      </w:r>
    </w:p>
    <w:p/>
    <w:p>
      <w:pPr>
        <w:pStyle w:val="Heading3"/>
      </w:pPr>
      <w:r>
        <w:t>Suggested External Authority Links</w:t>
      </w:r>
    </w:p>
    <w:p>
      <w:pPr>
        <w:pStyle w:val="ListBullet"/>
      </w:pPr>
      <w:r>
        <w:rPr>
          <w:b/>
        </w:rPr>
        <w:t xml:space="preserve">Malaysian Medical Council — </w:t>
      </w:r>
      <w:r>
        <w:t>https://mmc.gov.my</w:t>
      </w:r>
    </w:p>
    <w:p>
      <w:pPr>
        <w:pStyle w:val="ListBullet"/>
      </w:pPr>
      <w:r>
        <w:rPr>
          <w:b/>
        </w:rPr>
        <w:t xml:space="preserve">MMC – Specialist Registration — </w:t>
      </w:r>
      <w:r>
        <w:t>https://mmc.gov.my/specialist-registration/</w:t>
      </w:r>
    </w:p>
    <w:p>
      <w:pPr>
        <w:pStyle w:val="ListBullet"/>
      </w:pPr>
      <w:r>
        <w:rPr>
          <w:b/>
        </w:rPr>
        <w:t xml:space="preserve">Academy of Medicine of Malaysia — </w:t>
      </w:r>
      <w:r>
        <w:t>https://www.acadmed.org.my</w:t>
      </w:r>
    </w:p>
    <w:p>
      <w:pPr>
        <w:pStyle w:val="ListBullet"/>
      </w:pPr>
      <w:r>
        <w:rPr>
          <w:b/>
        </w:rPr>
        <w:t xml:space="preserve">Malaysian Journal of Pathology — </w:t>
      </w:r>
      <w:r>
        <w:t>https://www.mjpath.org.my</w:t>
      </w:r>
    </w:p>
    <w:p>
      <w:pPr>
        <w:pStyle w:val="ListBullet"/>
      </w:pPr>
      <w:r>
        <w:rPr>
          <w:b/>
        </w:rPr>
        <w:t xml:space="preserve">CodeBlue – National Specialist Register coverage — </w:t>
      </w:r>
      <w:r>
        <w:t>https://codeblue.galencentre.org</w:t>
      </w:r>
    </w:p>
    <w:p>
      <w:pPr>
        <w:pStyle w:val="ListBullet"/>
      </w:pPr>
      <w:r>
        <w:rPr>
          <w:b/>
        </w:rPr>
        <w:t xml:space="preserve">Malaysian Qualifications Agency — </w:t>
      </w:r>
      <w:r>
        <w:t>https://www2.mqa.gov.my</w:t>
      </w:r>
    </w:p>
    <w:p/>
    <w:p>
      <w:pPr>
        <w:pStyle w:val="Heading3"/>
      </w:pPr>
      <w:r>
        <w:t>Image Alt Text Suggestions</w:t>
      </w:r>
    </w:p>
    <w:p>
      <w:pPr>
        <w:pStyle w:val="ListBullet"/>
      </w:pPr>
      <w:r>
        <w:t>"MPath trainee reviewing histopathology slides at a Malaysian teaching hospital"</w:t>
      </w:r>
    </w:p>
    <w:p>
      <w:pPr>
        <w:pStyle w:val="ListBullet"/>
      </w:pPr>
      <w:r>
        <w:t>"Diagram of the five National Postgraduate Medical Curriculum pathology disciplines"</w:t>
      </w:r>
    </w:p>
    <w:p>
      <w:pPr>
        <w:pStyle w:val="ListBullet"/>
      </w:pPr>
      <w:r>
        <w:t>"Flowchart comparing university MPath and parallel pathway routes to NSR registration"</w:t>
      </w:r>
    </w:p>
    <w:p>
      <w:pPr>
        <w:pStyle w:val="ListBullet"/>
      </w:pPr>
      <w:r>
        <w:t>"Chart comparing government and private consultant pathologist salaries in Malaysia"</w:t>
      </w:r>
    </w:p>
    <w:p/>
    <w:p>
      <w:pPr>
        <w:pStyle w:val="Heading3"/>
      </w:pPr>
      <w:r>
        <w:t>Web Conversion CTAs</w:t>
      </w:r>
    </w:p>
    <w:p>
      <w:r>
        <w:rPr>
          <w:b/>
        </w:rPr>
        <w:t xml:space="preserve">CTA 1 (Critical verification): </w:t>
      </w:r>
      <w:r>
        <w:t>Verify your intended programme's current NSR registrability directly with MMC's published List of Registrable Specialist Qualifications before enrolling.</w:t>
      </w:r>
    </w:p>
    <w:p>
      <w:r>
        <w:rPr>
          <w:b/>
        </w:rPr>
        <w:t xml:space="preserve">CTA 2 (Curriculum): </w:t>
      </w:r>
      <w:r>
        <w:t>Explore the newly unified National Postgraduate Medical Curriculum pathology disciplines — launched October 2023 across five specialty areas.</w:t>
      </w:r>
    </w:p>
    <w:p>
      <w:r>
        <w:rPr>
          <w:b/>
        </w:rPr>
        <w:t xml:space="preserve">CTA 3 (Career path): </w:t>
      </w:r>
      <w:r>
        <w:t>Weigh government versus private-sector pathology careers early — progression, pay structure and earning ceiling differ substantially between the two.</w:t>
      </w:r>
    </w:p>
    <w:p>
      <w:r>
        <w:rPr>
          <w:b/>
        </w:rPr>
        <w:t xml:space="preserve">CTA 4 (Subspecialty): </w:t>
      </w:r>
      <w:r>
        <w:t>Considering forensic pathology or haematopathology? Explore accredited hospital fellowship routes and their specific credentialing requirements.</w:t>
      </w:r>
    </w:p>
    <w:p/>
    <w:p>
      <w:pPr>
        <w:pStyle w:val="Heading3"/>
      </w:pPr>
      <w:r>
        <w:t>Publication &amp; Distribution Notes</w:t>
      </w:r>
    </w:p>
    <w:p>
      <w:r>
        <w:rPr>
          <w:b/>
        </w:rPr>
        <w:t xml:space="preserve">Platform Recommendations: </w:t>
      </w:r>
      <w:r>
        <w:t>Blog/website primary (SEO), LinkedIn article mirror, Medium republication, Southeast Asian and IMG-focused medical career portals</w:t>
      </w:r>
    </w:p>
    <w:p>
      <w:r>
        <w:rPr>
          <w:b/>
        </w:rPr>
        <w:t xml:space="preserve">LinkedIn Hashtags: </w:t>
      </w:r>
      <w:r>
        <w:t>#PathologyCareers #Malaysia #MMC #MPath #NationalSpecialistRegister #MedicalCareers #Pathologist #ParallelPathway #SoutheastAsiaHealthcare #KualaLumpur</w:t>
      </w:r>
    </w:p>
    <w:p>
      <w:r>
        <w:rPr>
          <w:b/>
        </w:rPr>
        <w:t xml:space="preserve">Optimal Publishing Time: </w:t>
      </w:r>
      <w:r>
        <w:t>Tuesday–Thursday, 8 AM–12 PM MYT</w:t>
      </w:r>
    </w:p>
    <w:p>
      <w:r>
        <w:rPr>
          <w:b/>
        </w:rPr>
        <w:t xml:space="preserve">Content Refresh Cycle: </w:t>
      </w:r>
      <w:r>
        <w:t>Update urgently if the parallel pathway litigation resolves or the Medical Act amendment is gazetted — this is an actively moving regulatory situation, more so than any other country in this series</w:t>
      </w:r>
    </w:p>
    <w:p>
      <w:r>
        <w:rPr>
          <w:b/>
        </w:rPr>
        <w:t xml:space="preserve">Editorial Caution: </w:t>
      </w:r>
      <w:r>
        <w:t>This piece touches an active legal and political dispute (parallel pathway litigation). Present all stakeholder positions neutrally and avoid taking a side on the MMC/AMM/MQA jurisdictional question</w:t>
      </w:r>
    </w:p>
    <w:p>
      <w:r>
        <w:rPr>
          <w:b/>
        </w:rPr>
        <w:t xml:space="preserve">A/B Test Headlines: </w:t>
      </w:r>
      <w:r>
        <w:t>'Pathology in Malaysia: Your Complete Career Guide' vs. 'Before You Train as a Pathologist in Malaysia, Understand the Parallel Pathway Dispute'</w:t>
      </w:r>
    </w:p>
    <w:p/>
    <w:p>
      <w:r>
        <w:rPr>
          <w:i/>
        </w:rPr>
        <w:t xml:space="preserve">Document Generated: </w:t>
      </w:r>
      <w:r>
        <w:t>July 31, 2026</w:t>
      </w:r>
    </w:p>
    <w:p>
      <w:r>
        <w:rPr>
          <w:i/>
        </w:rPr>
        <w:t xml:space="preserve">SEO Status: </w:t>
      </w:r>
      <w:r>
        <w:t>Ready for publication — verify current MMC specialist qualification list, parallel pathway litigation status and NPMC curriculum adoption before posting; this is a fast-moving regulatory topic</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