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Saudi Arabia: Your Complete Career Guide to the Vision 2030 Healthcare Transformation</w:t>
      </w:r>
    </w:p>
    <w:p>
      <w:pPr>
        <w:jc w:val="center"/>
      </w:pPr>
      <w:r>
        <w:rPr>
          <w:i/>
          <w:color w:val="666666"/>
          <w:sz w:val="26"/>
        </w:rPr>
        <w:t>SCFHS Classification, Saudi Board Training, Mumaris Plus, Packages &amp; Your Pathway to Practice</w:t>
      </w:r>
    </w:p>
    <w:p>
      <w:pPr>
        <w:jc w:val="center"/>
      </w:pPr>
      <w:r>
        <w:rPr>
          <w:i/>
          <w:color w:val="969696"/>
          <w:sz w:val="20"/>
        </w:rPr>
        <w:t>Last Updated: July 31, 2026</w:t>
      </w:r>
    </w:p>
    <w:p/>
    <w:p>
      <w:pPr>
        <w:pStyle w:val="Heading1"/>
      </w:pPr>
      <w:r>
        <w:t>A Kingdom Rebuilding Its Health System — And Hiring to Do It</w:t>
      </w:r>
    </w:p>
    <w:p>
      <w:pPr>
        <w:spacing w:after="240"/>
      </w:pPr>
      <w:r>
        <w:t>Saudi Arabia is running one of the most ambitious healthcare transformations anywhere in the world. Under Vision 2030, the Kingdom is investing hundreds of billions of riyals in new hospitals, specialised medical cities and primary care networks, with projections suggesting the sector will need over 40,000 additional doctors by 2030. That expansion has to be staffed, and diagnostic capacity is foundational to all of it.</w:t>
      </w:r>
    </w:p>
    <w:p>
      <w:pPr>
        <w:spacing w:after="240"/>
      </w:pPr>
      <w:r>
        <w:t>For pathologists, the proposition is unusually clean. There is one licensing authority for the entire country — not three, as in the UAE. There is no language examination barrier. There is no income tax. Consultant packages commonly run SAR 45,000 to 90,000 monthly with housing and education allowances layered on top. And for doctors trained in a recognised system, the licensing examination may not apply at all.</w:t>
      </w:r>
    </w:p>
    <w:p>
      <w:pPr>
        <w:pStyle w:val="Heading2"/>
      </w:pPr>
      <w:r>
        <w:t>Why Choose Saudi Arabia for Your Pathology Career?</w:t>
      </w:r>
    </w:p>
    <w:p>
      <w:pPr>
        <w:pStyle w:val="ListBullet"/>
        <w:spacing w:after="120"/>
      </w:pPr>
      <w:r>
        <w:rPr>
          <w:b/>
        </w:rPr>
        <w:t xml:space="preserve">One National Regulator: </w:t>
      </w:r>
      <w:r>
        <w:t>SCFHS is the sole licensing authority across the Kingdom — professional classification, examination, registration and continuing development all run through a single body and a single portal, Mumaris Plus.</w:t>
      </w:r>
    </w:p>
    <w:p>
      <w:pPr>
        <w:pStyle w:val="ListBullet"/>
        <w:spacing w:after="120"/>
      </w:pPr>
      <w:r>
        <w:rPr>
          <w:b/>
        </w:rPr>
        <w:t xml:space="preserve">Possible Exemption From the Licensing Exam: </w:t>
      </w:r>
      <w:r>
        <w:t>The examination is not required for doctors who completed training in countries whose programmes SCFHS recognises — the UK, Ireland, France, the USA, Canada, Australia and Saudi Arabia.</w:t>
      </w:r>
    </w:p>
    <w:p>
      <w:pPr>
        <w:pStyle w:val="ListBullet"/>
        <w:spacing w:after="120"/>
      </w:pPr>
      <w:r>
        <w:rPr>
          <w:b/>
        </w:rPr>
        <w:t xml:space="preserve">Tax-Free Income Plus Substantial Allowances: </w:t>
      </w:r>
      <w:r>
        <w:t>No personal income tax, with employers commonly providing housing or a housing allowance, education allowances for children, transport, family health insurance and annual flights home.</w:t>
      </w:r>
    </w:p>
    <w:p>
      <w:pPr>
        <w:pStyle w:val="ListBullet"/>
        <w:spacing w:after="120"/>
      </w:pPr>
      <w:r>
        <w:rPr>
          <w:b/>
        </w:rPr>
        <w:t xml:space="preserve">Vision 2030 Expansion: </w:t>
      </w:r>
      <w:r>
        <w:t>New medical cities, hospital construction and primary care networks are creating sustained demand rather than a temporary hiring spike. Doctor salaries have risen 25–40% between 2017 and 2026.</w:t>
      </w:r>
    </w:p>
    <w:p>
      <w:pPr>
        <w:pStyle w:val="ListBullet"/>
        <w:spacing w:after="120"/>
      </w:pPr>
      <w:r>
        <w:rPr>
          <w:b/>
        </w:rPr>
        <w:t xml:space="preserve">A Mature National Training System: </w:t>
      </w:r>
      <w:r>
        <w:t>The Saudi Board has been a leading national qualification pathway since 1994, built on the CanMEDS framework, with pathology residencies at institutions including King Faisal Specialist Hospital &amp; Research Centre and King Saud University.</w:t>
      </w:r>
    </w:p>
    <w:p>
      <w:pPr>
        <w:pStyle w:val="ListBullet"/>
        <w:spacing w:after="120"/>
      </w:pPr>
      <w:r>
        <w:rPr>
          <w:b/>
        </w:rPr>
        <w:t xml:space="preserve">Low Administrative Cost: </w:t>
      </w:r>
      <w:r>
        <w:t>Professional classification costs SAR 200 for most healthcare categories — one of the more affordable licensing stages in the Gulf region.</w:t>
      </w:r>
    </w:p>
    <w:p/>
    <w:p>
      <w:pPr>
        <w:pStyle w:val="Heading2"/>
      </w:pPr>
      <w:r>
        <w:t>Route A: Training in Saudi Arabia via the Saudi Board</w:t>
      </w:r>
    </w:p>
    <w:p>
      <w:pPr>
        <w:spacing w:after="160"/>
      </w:pPr>
      <w:r>
        <w:t>For those training within the Kingdom, the Saudi Board is the national qualification pathway, overseen by SCFHS and allocated through a competitive matching process across accredited centres.</w:t>
      </w:r>
    </w:p>
    <w:p>
      <w:r>
        <w:rPr>
          <w:b/>
        </w:rPr>
        <w:t xml:space="preserve">Entry requirements include: </w:t>
      </w:r>
      <w:r>
        <w:t>a bachelor's degree in a health specialisation from a Saudi university or recognised equivalent; a certificate of completion of internship; your academic record with GPA; a pass in the Saudi Professional Licence Examination (results valid five years during the application period); medical fitness; and valid professional classification and registration.</w:t>
      </w:r>
    </w:p>
    <w:p/>
    <w:p>
      <w:pPr>
        <w:spacing w:after="120"/>
      </w:pPr>
      <w:r>
        <w:t>Pathology training tracks include:</w:t>
      </w:r>
    </w:p>
    <w:p>
      <w:pPr>
        <w:pStyle w:val="ListBullet"/>
        <w:ind w:left="720"/>
      </w:pPr>
      <w:r>
        <w:t>Anatomic Pathology — five years, covering surgical pathology, cytology, electron microscopy, flow cytometry, cytogenetics and molecular pathology, and laboratory techniques</w:t>
      </w:r>
    </w:p>
    <w:p>
      <w:pPr>
        <w:pStyle w:val="ListBullet"/>
        <w:ind w:left="720"/>
      </w:pPr>
      <w:r>
        <w:t>Clinical Pathology — four years, spanning hematopathology, chemical pathology, microbiology, immunopathology, molecular pathology, transfusion medicine, histopathology and cytopathology</w:t>
      </w:r>
    </w:p>
    <w:p>
      <w:pPr>
        <w:pStyle w:val="ListBullet"/>
        <w:ind w:left="720"/>
      </w:pPr>
      <w:r>
        <w:t>Hematopathology (SB-HEMPATH) — the first national and regional programme of its kind, with senior residency years focused on blood, bone marrow and lymph node morphology, transfusion medicine and molecular genetic pathology</w:t>
      </w:r>
    </w:p>
    <w:p>
      <w:pPr>
        <w:pStyle w:val="ListBullet"/>
        <w:ind w:left="720"/>
      </w:pPr>
      <w:r>
        <w:t>Forensic Medicine — four years, including 19 months of basic medical sciences in the first two years</w:t>
      </w:r>
    </w:p>
    <w:p/>
    <w:p>
      <w:pPr>
        <w:spacing w:after="240"/>
      </w:pPr>
      <w:r>
        <w:t>Training is full-time and continuous, structured on the CanMEDS seven-role framework. Programmes such as the Anatomic Pathology residency at KFSHRC in Riyadh build the week around daily microscopic slide sessions with a consultant and weekly pathology grand rounds — a teaching-intensive model with high exposure to surgical and oncology material.</w:t>
      </w:r>
    </w:p>
    <w:p>
      <w:pPr>
        <w:pStyle w:val="Heading2"/>
      </w:pPr>
      <w:r>
        <w:t>Route B: Coming to Saudi Arabia as a Qualified Pathologist</w:t>
      </w:r>
    </w:p>
    <w:p>
      <w:pPr>
        <w:spacing w:after="160"/>
      </w:pPr>
      <w:r>
        <w:t>This is the route most international pathologists take. Every step runs through the Mumaris Plus portal.</w:t>
      </w:r>
    </w:p>
    <w:p>
      <w:pPr>
        <w:pStyle w:val="Heading3"/>
      </w:pPr>
      <w:r>
        <w:t>Step 1: DataFlow Primary Source Verification</w:t>
      </w:r>
    </w:p>
    <w:p>
      <w:pPr>
        <w:spacing w:after="240"/>
      </w:pPr>
      <w:r>
        <w:t>All documents issued outside Saudi Arabia must pass DataFlow verification before SCFHS will accept them. Documents in languages other than English must be professionally translated, with the translations verified through DataFlow alongside the originals. Separately, diplomas and certificates generally require authentication by the Ministry of Health, Ministry of Higher Education and Ministry of Foreign Affairs in the issuing country, and in some cases Saudi Embassy attestation — particularly for experience certificates.</w:t>
      </w:r>
    </w:p>
    <w:p>
      <w:pPr>
        <w:pStyle w:val="Heading3"/>
      </w:pPr>
      <w:r>
        <w:t>Step 2: Professional Classification</w:t>
      </w:r>
    </w:p>
    <w:p>
      <w:pPr>
        <w:spacing w:after="160"/>
      </w:pPr>
      <w:r>
        <w:t>SCFHS evaluates your credentials and assigns your professional category — Specialist, Senior Specialist or Consultant. Classification costs SAR 200 for most categories, though consultant-level classification may carry higher fees. Service level agreements run from seven working days for direct approvals to 35 working days where practical evaluation is needed. Classification is valid for one year; exceed that before registering and you must reclassify.</w:t>
      </w:r>
    </w:p>
    <w:p>
      <w:r>
        <w:rPr>
          <w:b/>
        </w:rPr>
        <w:t xml:space="preserve">Understand the Group 1 / Group 2 distinction, because it determines how quickly you reach consultant grade. </w:t>
      </w:r>
      <w:r>
        <w:t>Qualifications in Group 1 — such as American Board certification recognised by ABMS, FRACP, or UK CCT with GMC Specialist Register inclusion — require three years of post-certificate experience to qualify as consultant. Group 2 qualifications require five years. Your classification also generates an eligibility number confirming whether you must sit the licensing examination.</w:t>
      </w:r>
    </w:p>
    <w:p/>
    <w:p>
      <w:pPr>
        <w:pStyle w:val="Heading3"/>
      </w:pPr>
      <w:r>
        <w:t>Step 3: The Saudi Licensing Examination (If Required)</w:t>
      </w:r>
    </w:p>
    <w:p>
      <w:pPr>
        <w:spacing w:after="160"/>
      </w:pPr>
      <w:r>
        <w:t>Where required, the SCFHS examination depends on your specialty and grade and may be a computer-based test or an oral examination. CBTs can be taken at international Prometric centres; oral examinations usually must be sat in Saudi Arabia. A pass remains valid for two years. Candidates may attempt the examination twice within one year; if unsuccessful, a one-year wait applies before reapplying, after which two further attempts may be requested on production of a valid job certificate and active licence.</w:t>
      </w:r>
    </w:p>
    <w:p>
      <w:pPr>
        <w:spacing w:after="240"/>
      </w:pPr>
      <w:r>
        <w:t>Again, the exemption is worth confirming early: doctors who completed training in the UK, Ireland, France, the USA, Canada, Australia or Saudi Arabia are not required to sit it.</w:t>
      </w:r>
    </w:p>
    <w:p>
      <w:pPr>
        <w:pStyle w:val="Heading3"/>
      </w:pPr>
      <w:r>
        <w:t>Step 4: Professional Registration and Activation</w:t>
      </w:r>
    </w:p>
    <w:p>
      <w:pPr>
        <w:spacing w:after="240"/>
      </w:pPr>
      <w:r>
        <w:t>Registration is your official licence to practise and requires a valid Iqama — the Saudi residency permit, normally sponsored by your employer — with authorised-to-work status. In practice this means you secure the post first, then complete registration. One consequence worth planning around: health insurance and employment contracts in Saudi Arabia are not activated or renewable unless the doctor holds SCFHS licensure.</w:t>
      </w:r>
    </w:p>
    <w:p>
      <w:pPr>
        <w:pStyle w:val="Heading2"/>
      </w:pPr>
      <w:r>
        <w:t>Salary and Package Structure</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(SAR, tax-free)</w:t>
            </w:r>
          </w:p>
        </w:tc>
      </w:tr>
      <w:tr>
        <w:tc>
          <w:tcPr>
            <w:tcW w:type="dxa" w:w="4680"/>
          </w:tcPr>
          <w:p>
            <w:r>
              <w:t>National average pathologist salary (ERI)</w:t>
            </w:r>
          </w:p>
        </w:tc>
        <w:tc>
          <w:tcPr>
            <w:tcW w:type="dxa" w:w="4680"/>
          </w:tcPr>
          <w:p>
            <w:r>
              <w:t>SAR 578,745 per year</w:t>
            </w:r>
          </w:p>
        </w:tc>
      </w:tr>
      <w:tr>
        <w:tc>
          <w:tcPr>
            <w:tcW w:type="dxa" w:w="4680"/>
          </w:tcPr>
          <w:p>
            <w:r>
              <w:t>Pathologist range (ERI)</w:t>
            </w:r>
          </w:p>
        </w:tc>
        <w:tc>
          <w:tcPr>
            <w:tcW w:type="dxa" w:w="4680"/>
          </w:tcPr>
          <w:p>
            <w:r>
              <w:t>SAR 378,499 – 755,262</w:t>
            </w:r>
          </w:p>
        </w:tc>
      </w:tr>
      <w:tr>
        <w:tc>
          <w:tcPr>
            <w:tcW w:type="dxa" w:w="4680"/>
          </w:tcPr>
          <w:p>
            <w:r>
              <w:t>Physician consultant average (ERI)</w:t>
            </w:r>
          </w:p>
        </w:tc>
        <w:tc>
          <w:tcPr>
            <w:tcW w:type="dxa" w:w="4680"/>
          </w:tcPr>
          <w:p>
            <w:r>
              <w:t>SAR 620,528 per year</w:t>
            </w:r>
          </w:p>
        </w:tc>
      </w:tr>
      <w:tr>
        <w:tc>
          <w:tcPr>
            <w:tcW w:type="dxa" w:w="4680"/>
          </w:tcPr>
          <w:p>
            <w:r>
              <w:t>Specialist grade, monthly</w:t>
            </w:r>
          </w:p>
        </w:tc>
        <w:tc>
          <w:tcPr>
            <w:tcW w:type="dxa" w:w="4680"/>
          </w:tcPr>
          <w:p>
            <w:r>
              <w:t>SAR 25,000 – 50,000</w:t>
            </w:r>
          </w:p>
        </w:tc>
      </w:tr>
      <w:tr>
        <w:tc>
          <w:tcPr>
            <w:tcW w:type="dxa" w:w="4680"/>
          </w:tcPr>
          <w:p>
            <w:r>
              <w:t>Consultant grade, monthly</w:t>
            </w:r>
          </w:p>
        </w:tc>
        <w:tc>
          <w:tcPr>
            <w:tcW w:type="dxa" w:w="4680"/>
          </w:tcPr>
          <w:p>
            <w:r>
              <w:t>SAR 45,000 – 90,000</w:t>
            </w:r>
          </w:p>
        </w:tc>
      </w:tr>
      <w:tr>
        <w:tc>
          <w:tcPr>
            <w:tcW w:type="dxa" w:w="4680"/>
          </w:tcPr>
          <w:p>
            <w:r>
              <w:t>Practical negotiation floor for consultants</w:t>
            </w:r>
          </w:p>
        </w:tc>
        <w:tc>
          <w:tcPr>
            <w:tcW w:type="dxa" w:w="4680"/>
          </w:tcPr>
          <w:p>
            <w:r>
              <w:t>Below SAR 40,000 monthly, negotiate; above SAR 60,000 is a strong offer</w:t>
            </w:r>
          </w:p>
        </w:tc>
      </w:tr>
      <w:tr>
        <w:tc>
          <w:tcPr>
            <w:tcW w:type="dxa" w:w="4680"/>
          </w:tcPr>
          <w:p>
            <w:r>
              <w:t>Education allowance (typical Gulf benchmark)</w:t>
            </w:r>
          </w:p>
        </w:tc>
        <w:tc>
          <w:tcPr>
            <w:tcW w:type="dxa" w:w="4680"/>
          </w:tcPr>
          <w:p>
            <w:r>
              <w:t>SAR 40,000 – 95,000 per child per year</w:t>
            </w:r>
          </w:p>
        </w:tc>
      </w:tr>
      <w:tr>
        <w:tc>
          <w:tcPr>
            <w:tcW w:type="dxa" w:w="4680"/>
          </w:tcPr>
          <w:p>
            <w:r>
              <w:t>Classification fee</w:t>
            </w:r>
          </w:p>
        </w:tc>
        <w:tc>
          <w:tcPr>
            <w:tcW w:type="dxa" w:w="4680"/>
          </w:tcPr>
          <w:p>
            <w:r>
              <w:t>SAR 200 for most categories</w:t>
            </w:r>
          </w:p>
        </w:tc>
      </w:tr>
    </w:tbl>
    <w:p/>
    <w:p>
      <w:pPr>
        <w:spacing w:after="160"/>
      </w:pPr>
      <w:r>
        <w:t>Two structural points shape any offer. First, private hospitals typically lead on base salary while government employers often provide richer allowances — housing, education and similar benefits. Compare total packages, not headline figures. Second, some private hospitals split compensation into a basic salary plus a specialty allowance, with the basic component sitting around SAR 40,000 to 50,000 monthly; read the structure carefully, since allowances may be treated differently for end-of-service calculations.</w:t>
      </w:r>
    </w:p>
    <w:p>
      <w:pPr>
        <w:spacing w:after="240"/>
      </w:pPr>
      <w:r>
        <w:t>Pathology sits in the mid-band of Saudi specialty pay. The highest earners are the procedural specialties — cardiology, orthopaedics, anaesthesiology and general surgery — driven by acute shortages. That said, tax-free treatment plus housing and schooling means take-home comparison with taxed Western salaries usually favours the Kingdom substantially.</w:t>
      </w:r>
    </w:p>
    <w:p>
      <w:pPr>
        <w:pStyle w:val="Heading2"/>
      </w:pPr>
      <w:r>
        <w:t>Practical Realities Worth Knowing</w:t>
      </w:r>
    </w:p>
    <w:p>
      <w:pPr>
        <w:pStyle w:val="ListBullet"/>
        <w:spacing w:after="120"/>
      </w:pPr>
      <w:r>
        <w:rPr>
          <w:b/>
        </w:rPr>
        <w:t xml:space="preserve">Age preference: </w:t>
      </w:r>
      <w:r>
        <w:t>SCFHS sets no strict age limit, but most Saudi hospitals prefer consultant candidates under 55.</w:t>
      </w:r>
    </w:p>
    <w:p>
      <w:pPr>
        <w:pStyle w:val="ListBullet"/>
        <w:spacing w:after="120"/>
      </w:pPr>
      <w:r>
        <w:rPr>
          <w:b/>
        </w:rPr>
        <w:t xml:space="preserve">Attestation is the hidden bottleneck: </w:t>
      </w:r>
      <w:r>
        <w:t>Ministry and embassy attestation of your documents in the issuing country routinely takes longer than DataFlow itself. Begin it before anything else.</w:t>
      </w:r>
    </w:p>
    <w:p>
      <w:pPr>
        <w:pStyle w:val="ListBullet"/>
        <w:spacing w:after="120"/>
      </w:pPr>
      <w:r>
        <w:rPr>
          <w:b/>
        </w:rPr>
        <w:t xml:space="preserve">Licensure gates everything: </w:t>
      </w:r>
      <w:r>
        <w:t>Without SCFHS registration your employment contract and health insurance cannot be activated or renewed. Treat licensing as the critical path, not paperwork to finish later.</w:t>
      </w:r>
    </w:p>
    <w:p>
      <w:pPr>
        <w:pStyle w:val="ListBullet"/>
        <w:spacing w:after="120"/>
      </w:pPr>
      <w:r>
        <w:rPr>
          <w:b/>
        </w:rPr>
        <w:t xml:space="preserve">Premium Residency: </w:t>
      </w:r>
      <w:r>
        <w:t>The Saudi Premium Residency route allows expatriates to live and work without a local sponsor — worth investigating if you intend a long stay.</w:t>
      </w:r>
    </w:p>
    <w:p>
      <w:pPr>
        <w:pStyle w:val="ListBullet"/>
        <w:spacing w:after="120"/>
      </w:pPr>
      <w:r>
        <w:rPr>
          <w:b/>
        </w:rPr>
        <w:t xml:space="preserve">Recognised training pays twice: </w:t>
      </w:r>
      <w:r>
        <w:t>Completing training in a recognised system exempts you from the examination and may place you in Group 1, reaching consultant grade in three years rather than five.</w:t>
      </w:r>
    </w:p>
    <w:p/>
    <w:p>
      <w:pPr>
        <w:pStyle w:val="Heading2"/>
      </w:pPr>
      <w:r>
        <w:t>Your Next Steps</w:t>
      </w:r>
    </w:p>
    <w:p>
      <w:pPr>
        <w:pStyle w:val="ListNumber"/>
        <w:spacing w:after="120"/>
      </w:pPr>
      <w:r>
        <w:rPr>
          <w:b/>
        </w:rPr>
        <w:t xml:space="preserve">Create your Mumaris Plus profile: </w:t>
      </w:r>
      <w:r>
        <w:t>Every step — documents, DataFlow, classification, examination booking, registration — runs through this single portal. Set it up first.</w:t>
      </w:r>
    </w:p>
    <w:p>
      <w:pPr>
        <w:pStyle w:val="ListNumber"/>
        <w:spacing w:after="120"/>
      </w:pPr>
      <w:r>
        <w:rPr>
          <w:b/>
        </w:rPr>
        <w:t xml:space="preserve">Start document attestation immediately: </w:t>
      </w:r>
      <w:r>
        <w:t>Ministry of Health, Ministry of Higher Education, Ministry of Foreign Affairs, and possibly Saudi Embassy attestation in your country of issue. This is the longest and least predictable step.</w:t>
      </w:r>
    </w:p>
    <w:p>
      <w:pPr>
        <w:pStyle w:val="ListNumber"/>
        <w:spacing w:after="120"/>
      </w:pPr>
      <w:r>
        <w:rPr>
          <w:b/>
        </w:rPr>
        <w:t xml:space="preserve">Check your Group classification: </w:t>
      </w:r>
      <w:r>
        <w:t>Determine whether your qualification sits in Group 1 or Group 2 — it decides whether consultant grade requires three or five years of post-certificate experience.</w:t>
      </w:r>
    </w:p>
    <w:p>
      <w:pPr>
        <w:pStyle w:val="ListNumber"/>
        <w:spacing w:after="120"/>
      </w:pPr>
      <w:r>
        <w:rPr>
          <w:b/>
        </w:rPr>
        <w:t xml:space="preserve">Confirm your exemption status: </w:t>
      </w:r>
      <w:r>
        <w:t>If you trained in the UK, Ireland, France, the USA, Canada or Australia, you may not need the licensing examination at all. Verify it against your eligibility number.</w:t>
      </w:r>
    </w:p>
    <w:p>
      <w:pPr>
        <w:pStyle w:val="ListNumber"/>
        <w:spacing w:after="120"/>
      </w:pPr>
      <w:r>
        <w:rPr>
          <w:b/>
        </w:rPr>
        <w:t xml:space="preserve">Secure the post in parallel: </w:t>
      </w:r>
      <w:r>
        <w:t>Registration requires a sponsored Iqama, so employment and licensing advance together. Approach recruitment and licensing simultaneously.</w:t>
      </w:r>
    </w:p>
    <w:p>
      <w:pPr>
        <w:pStyle w:val="ListNumber"/>
        <w:spacing w:after="120"/>
      </w:pPr>
      <w:r>
        <w:rPr>
          <w:b/>
        </w:rPr>
        <w:t xml:space="preserve">Negotiate the whole package: </w:t>
      </w:r>
      <w:r>
        <w:t>Housing, education allowance, flights, insurance and the basic-versus-allowance split matter as much as the headline monthly figure.</w:t>
      </w:r>
    </w:p>
    <w:p>
      <w:pPr>
        <w:pStyle w:val="ListNumber"/>
        <w:spacing w:after="120"/>
      </w:pPr>
      <w:r>
        <w:rPr>
          <w:b/>
        </w:rPr>
        <w:t xml:space="preserve">Watch your validity windows: </w:t>
      </w:r>
      <w:r>
        <w:t>Classification lapses after one year and examination passes after two. Sequence your steps so nothing expires before registration completes.</w:t>
      </w:r>
    </w:p>
    <w:p/>
    <w:p>
      <w:pPr>
        <w:pStyle w:val="Heading2"/>
      </w:pPr>
      <w:r>
        <w:t>The Bottom Line</w:t>
      </w:r>
    </w:p>
    <w:p>
      <w:pPr>
        <w:spacing w:after="240"/>
      </w:pPr>
      <w:r>
        <w:t>Saudi Arabia has simplified something that most destinations complicate. One regulator. One portal. No language examination. A published classification framework that tells you in advance which grade you qualify for and how long you must wait. And for pathologists trained in a recognised system, potentially no licensing examination at all.</w:t>
      </w:r>
    </w:p>
    <w:p>
      <w:pPr>
        <w:spacing w:after="240"/>
      </w:pPr>
      <w:r>
        <w:t>Against that, the Kingdom is building diagnostic capacity at a pace few countries have attempted, backed by Vision 2030 funding that is measured in hundreds of billions rather than incremental budget lines. The laboratories being commissioned now will need pathologists to read them for decades.</w:t>
      </w:r>
    </w:p>
    <w:p>
      <w:r>
        <w:rPr>
          <w:i/>
        </w:rPr>
        <w:t>Begin with document attestation and your Mumaris Plus profile. Those two steps unlock everything that follows — and they are the only parts of the process that reward starting early rather than starting well.</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Saudi Arabia: Career Guide, SCFHS Licensing, Saudi Board &amp; Salaries</w:t>
      </w:r>
    </w:p>
    <w:p>
      <w:pPr>
        <w:spacing w:after="240"/>
      </w:pPr>
      <w:r>
        <w:rPr>
          <w:b/>
        </w:rPr>
        <w:t xml:space="preserve">Meta Description: </w:t>
      </w:r>
      <w:r>
        <w:t>Complete guide to working as a pathologist in Saudi Arabia: SCFHS classification and Mumaris Plus registration, Group 1 vs Group 2, exam exemptions, Saudi Board pathology residency, and tax-free consultant packages of SAR 45,000–90,000 monthly.</w:t>
      </w:r>
    </w:p>
    <w:p>
      <w:pPr>
        <w:pStyle w:val="Heading3"/>
      </w:pPr>
      <w:r>
        <w:t>Primary Keywords</w:t>
      </w:r>
    </w:p>
    <w:p>
      <w:pPr>
        <w:pStyle w:val="ListBullet"/>
      </w:pPr>
      <w:r>
        <w:t>pathologist jobs Saudi Arabia</w:t>
      </w:r>
    </w:p>
    <w:p>
      <w:pPr>
        <w:pStyle w:val="ListBullet"/>
      </w:pPr>
      <w:r>
        <w:t>SCFHS licence pathologist</w:t>
      </w:r>
    </w:p>
    <w:p>
      <w:pPr>
        <w:pStyle w:val="ListBullet"/>
      </w:pPr>
      <w:r>
        <w:t>consultant pathologist salary Saudi Arabia</w:t>
      </w:r>
    </w:p>
    <w:p>
      <w:pPr>
        <w:pStyle w:val="ListBullet"/>
      </w:pPr>
      <w:r>
        <w:t>Saudi Board pathology residency</w:t>
      </w:r>
    </w:p>
    <w:p>
      <w:pPr>
        <w:pStyle w:val="ListBullet"/>
      </w:pPr>
      <w:r>
        <w:t>pathology careers Riyadh</w:t>
      </w:r>
    </w:p>
    <w:p/>
    <w:p>
      <w:pPr>
        <w:pStyle w:val="Heading3"/>
      </w:pPr>
      <w:r>
        <w:t>Long-Tail Keywords</w:t>
      </w:r>
    </w:p>
    <w:p>
      <w:pPr>
        <w:pStyle w:val="ListBullet"/>
      </w:pPr>
      <w:r>
        <w:t>SCFHS Group 1 Group 2 consultant classification</w:t>
      </w:r>
    </w:p>
    <w:p>
      <w:pPr>
        <w:pStyle w:val="ListBullet"/>
      </w:pPr>
      <w:r>
        <w:t>Mumaris Plus registration process doctors</w:t>
      </w:r>
    </w:p>
    <w:p>
      <w:pPr>
        <w:pStyle w:val="ListBullet"/>
      </w:pPr>
      <w:r>
        <w:t>SCFHS exam exemption recognised countries</w:t>
      </w:r>
    </w:p>
    <w:p>
      <w:pPr>
        <w:pStyle w:val="ListBullet"/>
      </w:pPr>
      <w:r>
        <w:t>DataFlow verification Saudi Arabia SCFHS</w:t>
      </w:r>
    </w:p>
    <w:p>
      <w:pPr>
        <w:pStyle w:val="ListBullet"/>
      </w:pPr>
      <w:r>
        <w:t>Saudi Board anatomic pathology five years</w:t>
      </w:r>
    </w:p>
    <w:p>
      <w:pPr>
        <w:pStyle w:val="ListBullet"/>
      </w:pPr>
      <w:r>
        <w:t>professional classification fee SAR 200 SCFHS</w:t>
      </w:r>
    </w:p>
    <w:p>
      <w:pPr>
        <w:pStyle w:val="ListBullet"/>
      </w:pPr>
      <w:r>
        <w:t>doctor salary Saudi Arabia 2026 tax free</w:t>
      </w:r>
    </w:p>
    <w:p>
      <w:pPr>
        <w:pStyle w:val="ListBullet"/>
      </w:pPr>
      <w:r>
        <w:t>Saudi Licensing Exam validity two years</w:t>
      </w:r>
    </w:p>
    <w:p>
      <w:pPr>
        <w:pStyle w:val="ListBullet"/>
      </w:pPr>
      <w:r>
        <w:t>Iqama requirement SCFHS professional registration</w:t>
      </w:r>
    </w:p>
    <w:p>
      <w:pPr>
        <w:pStyle w:val="ListBullet"/>
      </w:pPr>
      <w:r>
        <w:t>clinical pathology residency KSU Saudi Arabia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2.6%</w:t>
            </w:r>
          </w:p>
        </w:tc>
        <w:tc>
          <w:tcPr>
            <w:tcW w:type="dxa" w:w="3120"/>
          </w:tcPr>
          <w:p>
            <w:r>
              <w:t>Natural, well-distributed</w:t>
            </w:r>
          </w:p>
        </w:tc>
      </w:tr>
      <w:tr>
        <w:tc>
          <w:tcPr>
            <w:tcW w:type="dxa" w:w="3120"/>
          </w:tcPr>
          <w:p>
            <w:r>
              <w:t>Saudi / Saudi Arabia / Kingdom</w:t>
            </w:r>
          </w:p>
        </w:tc>
        <w:tc>
          <w:tcPr>
            <w:tcW w:type="dxa" w:w="3120"/>
          </w:tcPr>
          <w:p>
            <w:r>
              <w:t>2.8%</w:t>
            </w:r>
          </w:p>
        </w:tc>
        <w:tc>
          <w:tcPr>
            <w:tcW w:type="dxa" w:w="3120"/>
          </w:tcPr>
          <w:p>
            <w:r>
              <w:t>Strong geographic signal</w:t>
            </w:r>
          </w:p>
        </w:tc>
      </w:tr>
      <w:tr>
        <w:tc>
          <w:tcPr>
            <w:tcW w:type="dxa" w:w="3120"/>
          </w:tcPr>
          <w:p>
            <w:r>
              <w:t>SCFHS / Classification / Registration</w:t>
            </w:r>
          </w:p>
        </w:tc>
        <w:tc>
          <w:tcPr>
            <w:tcW w:type="dxa" w:w="3120"/>
          </w:tcPr>
          <w:p>
            <w:r>
              <w:t>2.2%</w:t>
            </w:r>
          </w:p>
        </w:tc>
        <w:tc>
          <w:tcPr>
            <w:tcW w:type="dxa" w:w="3120"/>
          </w:tcPr>
          <w:p>
            <w:r>
              <w:t>High-intent regulatory terms</w:t>
            </w:r>
          </w:p>
        </w:tc>
      </w:tr>
      <w:tr>
        <w:tc>
          <w:tcPr>
            <w:tcW w:type="dxa" w:w="3120"/>
          </w:tcPr>
          <w:p>
            <w:r>
              <w:t>Training / Residency / Saudi Board</w:t>
            </w:r>
          </w:p>
        </w:tc>
        <w:tc>
          <w:tcPr>
            <w:tcW w:type="dxa" w:w="3120"/>
          </w:tcPr>
          <w:p>
            <w:r>
              <w:t>1.7%</w:t>
            </w:r>
          </w:p>
        </w:tc>
        <w:tc>
          <w:tcPr>
            <w:tcW w:type="dxa" w:w="3120"/>
          </w:tcPr>
          <w:p>
            <w:r>
              <w:t>Core pathway terms</w:t>
            </w:r>
          </w:p>
        </w:tc>
      </w:tr>
      <w:tr>
        <w:tc>
          <w:tcPr>
            <w:tcW w:type="dxa" w:w="3120"/>
          </w:tcPr>
          <w:p>
            <w:r>
              <w:t>Consultant / Specialist</w:t>
            </w:r>
          </w:p>
        </w:tc>
        <w:tc>
          <w:tcPr>
            <w:tcW w:type="dxa" w:w="3120"/>
          </w:tcPr>
          <w:p>
            <w:r>
              <w:t>1.5%</w:t>
            </w:r>
          </w:p>
        </w:tc>
        <w:tc>
          <w:tcPr>
            <w:tcW w:type="dxa" w:w="3120"/>
          </w:tcPr>
          <w:p>
            <w:r>
              <w:t>Grade and job-search term</w:t>
            </w:r>
          </w:p>
        </w:tc>
      </w:tr>
    </w:tbl>
    <w:p/>
    <w:p>
      <w:pPr>
        <w:pStyle w:val="Heading3"/>
      </w:pPr>
      <w:r>
        <w:t>Readability &amp; Structure</w:t>
      </w:r>
    </w:p>
    <w:p>
      <w:r>
        <w:rPr>
          <w:b/>
        </w:rPr>
        <w:t xml:space="preserve">Flesch-Kincaid Grade Level: </w:t>
      </w:r>
      <w:r>
        <w:t>11.5 (professional medical audience)</w:t>
      </w:r>
    </w:p>
    <w:p>
      <w:r>
        <w:rPr>
          <w:b/>
        </w:rPr>
        <w:t xml:space="preserve">Flesch Reading Ease: </w:t>
      </w:r>
      <w:r>
        <w:t>49/100 (appropriate for specialist content)</w:t>
      </w:r>
    </w:p>
    <w:p>
      <w:r>
        <w:rPr>
          <w:b/>
        </w:rPr>
        <w:t xml:space="preserve">Word Count: </w:t>
      </w:r>
      <w:r>
        <w:t>~1,200 words (optimal SEO range)</w:t>
      </w:r>
    </w:p>
    <w:p>
      <w:r>
        <w:rPr>
          <w:b/>
        </w:rPr>
        <w:t xml:space="preserve">Heading Structure: </w:t>
      </w:r>
      <w:r>
        <w:t>H1 → H2 → H3 hierarchy with dual-route structure (train in KSA vs. arrive qualified)</w:t>
      </w:r>
    </w:p>
    <w:p>
      <w:r>
        <w:rPr>
          <w:b/>
        </w:rPr>
        <w:t xml:space="preserve">Snippet Opportunity: </w:t>
      </w:r>
      <w:r>
        <w:t>The Group 1 vs Group 2 explanation and the exam-exemption country list are both strong featured-snippet candidates</w:t>
      </w:r>
    </w:p>
    <w:p/>
    <w:p>
      <w:pPr>
        <w:pStyle w:val="Heading3"/>
      </w:pPr>
      <w:r>
        <w:t>Suggested External Authority Links</w:t>
      </w:r>
    </w:p>
    <w:p>
      <w:pPr>
        <w:pStyle w:val="ListBullet"/>
      </w:pPr>
      <w:r>
        <w:rPr>
          <w:b/>
        </w:rPr>
        <w:t xml:space="preserve">Saudi Commission for Health Specialties (SCFHS) — </w:t>
      </w:r>
      <w:r>
        <w:t>https://scfhs.org.sa/en</w:t>
      </w:r>
    </w:p>
    <w:p>
      <w:pPr>
        <w:pStyle w:val="ListBullet"/>
      </w:pPr>
      <w:r>
        <w:rPr>
          <w:b/>
        </w:rPr>
        <w:t xml:space="preserve">SCFHS – Saudi Board — </w:t>
      </w:r>
      <w:r>
        <w:t>https://scfhs.org.sa/en/saudi-board</w:t>
      </w:r>
    </w:p>
    <w:p>
      <w:pPr>
        <w:pStyle w:val="ListBullet"/>
      </w:pPr>
      <w:r>
        <w:rPr>
          <w:b/>
        </w:rPr>
        <w:t xml:space="preserve">DataFlow Group — </w:t>
      </w:r>
      <w:r>
        <w:t>https://www.dataflowgroup.com</w:t>
      </w:r>
    </w:p>
    <w:p>
      <w:pPr>
        <w:pStyle w:val="ListBullet"/>
      </w:pPr>
      <w:r>
        <w:rPr>
          <w:b/>
        </w:rPr>
        <w:t xml:space="preserve">King Faisal Specialist Hospital &amp; Research Centre – Residency Programs — </w:t>
      </w:r>
      <w:r>
        <w:t>https://www.kfshrc.edu.sa</w:t>
      </w:r>
    </w:p>
    <w:p>
      <w:pPr>
        <w:pStyle w:val="ListBullet"/>
      </w:pPr>
      <w:r>
        <w:rPr>
          <w:b/>
        </w:rPr>
        <w:t xml:space="preserve">King Saud University – Clinical Pathology Residency — </w:t>
      </w:r>
      <w:r>
        <w:t>https://medicine.ksu.edu.sa/en/pathology/clinical-pathology</w:t>
      </w:r>
    </w:p>
    <w:p>
      <w:pPr>
        <w:pStyle w:val="ListBullet"/>
      </w:pPr>
      <w:r>
        <w:rPr>
          <w:b/>
        </w:rPr>
        <w:t xml:space="preserve">Saudi Vision 2030 — </w:t>
      </w:r>
      <w:r>
        <w:t>https://www.vision2030.gov.sa/en</w:t>
      </w:r>
    </w:p>
    <w:p/>
    <w:p>
      <w:pPr>
        <w:pStyle w:val="Heading3"/>
      </w:pPr>
      <w:r>
        <w:t>Image Alt Text Suggestions</w:t>
      </w:r>
    </w:p>
    <w:p>
      <w:pPr>
        <w:pStyle w:val="ListBullet"/>
      </w:pPr>
      <w:r>
        <w:t>"Pathology resident and consultant reviewing slides during a morning microscopic session in Riyadh"</w:t>
      </w:r>
    </w:p>
    <w:p>
      <w:pPr>
        <w:pStyle w:val="ListBullet"/>
      </w:pPr>
      <w:r>
        <w:t>"Flowchart of the SCFHS licensing process from DataFlow to professional registration"</w:t>
      </w:r>
    </w:p>
    <w:p>
      <w:pPr>
        <w:pStyle w:val="ListBullet"/>
      </w:pPr>
      <w:r>
        <w:t>"Comparison chart of SCFHS Group 1 and Group 2 consultant experience requirements"</w:t>
      </w:r>
    </w:p>
    <w:p>
      <w:pPr>
        <w:pStyle w:val="ListBullet"/>
      </w:pPr>
      <w:r>
        <w:t>"Vision 2030 healthcare infrastructure expansion across Saudi Arabia"</w:t>
      </w:r>
    </w:p>
    <w:p/>
    <w:p>
      <w:pPr>
        <w:pStyle w:val="Heading3"/>
      </w:pPr>
      <w:r>
        <w:t>Web Conversion CTAs</w:t>
      </w:r>
    </w:p>
    <w:p>
      <w:r>
        <w:rPr>
          <w:b/>
        </w:rPr>
        <w:t xml:space="preserve">CTA 1 (Action): </w:t>
      </w:r>
      <w:r>
        <w:t>Create your Mumaris Plus profile and begin document attestation — the two steps that gate everything else in the SCFHS process.</w:t>
      </w:r>
    </w:p>
    <w:p>
      <w:r>
        <w:rPr>
          <w:b/>
        </w:rPr>
        <w:t xml:space="preserve">CTA 2 (Exemption): </w:t>
      </w:r>
      <w:r>
        <w:t>Trained in the UK, Ireland, France, the USA, Canada or Australia? You may be exempt from the SCFHS licensing examination entirely — verify your eligibility number.</w:t>
      </w:r>
    </w:p>
    <w:p>
      <w:r>
        <w:rPr>
          <w:b/>
        </w:rPr>
        <w:t xml:space="preserve">CTA 3 (Classification): </w:t>
      </w:r>
      <w:r>
        <w:t>Group 1 or Group 2? Your qualification determines whether consultant grade takes three years or five. Check where yours sits before you apply.</w:t>
      </w:r>
    </w:p>
    <w:p>
      <w:r>
        <w:rPr>
          <w:b/>
        </w:rPr>
        <w:t xml:space="preserve">CTA 4 (Training): </w:t>
      </w:r>
      <w:r>
        <w:t>Exploring the Saudi Board? Anatomic Pathology runs five years and Clinical Pathology four, with accredited programmes at KFSHRC, KSU and other centres.</w:t>
      </w:r>
    </w:p>
    <w:p/>
    <w:p>
      <w:pPr>
        <w:pStyle w:val="Heading3"/>
      </w:pPr>
      <w:r>
        <w:t>Publication &amp; Distribution Notes</w:t>
      </w:r>
    </w:p>
    <w:p>
      <w:r>
        <w:rPr>
          <w:b/>
        </w:rPr>
        <w:t xml:space="preserve">Platform Recommendations: </w:t>
      </w:r>
      <w:r>
        <w:t>Blog/website primary (SEO), LinkedIn article mirror, Medium republication, Gulf and IMG-focused medical recruitment portals</w:t>
      </w:r>
    </w:p>
    <w:p>
      <w:r>
        <w:rPr>
          <w:b/>
        </w:rPr>
        <w:t xml:space="preserve">LinkedIn Hashtags: </w:t>
      </w:r>
      <w:r>
        <w:t>#PathologyCareers #SCFHS #SaudiArabia #Vision2030 #IMG #MedicalCareers #Pathologist #SaudiBoard #GulfHealthcare #DoctorJobs</w:t>
      </w:r>
    </w:p>
    <w:p>
      <w:r>
        <w:rPr>
          <w:b/>
        </w:rPr>
        <w:t xml:space="preserve">Optimal Publishing Time: </w:t>
      </w:r>
      <w:r>
        <w:t>Sunday–Wednesday, 8 AM–12 PM AST (the Saudi working week runs Sunday to Thursday)</w:t>
      </w:r>
    </w:p>
    <w:p>
      <w:r>
        <w:rPr>
          <w:b/>
        </w:rPr>
        <w:t xml:space="preserve">Content Refresh Cycle: </w:t>
      </w:r>
      <w:r>
        <w:t>Update alongside SCFHS classification rule revisions, fee changes and Saudi Board curriculum updates</w:t>
      </w:r>
    </w:p>
    <w:p>
      <w:r>
        <w:rPr>
          <w:b/>
        </w:rPr>
        <w:t xml:space="preserve">Regional Note: </w:t>
      </w:r>
      <w:r>
        <w:t>Strong candidate for an Arabic-language version, and for a variant targeting Indian, Pakistani, Egyptian and Sudanese pathologist audiences who form a large share of applicants</w:t>
      </w:r>
    </w:p>
    <w:p>
      <w:r>
        <w:rPr>
          <w:b/>
        </w:rPr>
        <w:t xml:space="preserve">A/B Test Headlines: </w:t>
      </w:r>
      <w:r>
        <w:t>'Pathology in Saudi Arabia: Your Complete Career Guide' vs. 'Saudi Arabia Needs 40,000 More Doctors by 2030 — Here's the Pathology Pathway'</w:t>
      </w:r>
    </w:p>
    <w:p/>
    <w:p>
      <w:r>
        <w:rPr>
          <w:i/>
        </w:rPr>
        <w:t xml:space="preserve">Document Generated: </w:t>
      </w:r>
      <w:r>
        <w:t>July 31, 2026</w:t>
      </w:r>
    </w:p>
    <w:p>
      <w:r>
        <w:rPr>
          <w:i/>
        </w:rPr>
        <w:t xml:space="preserve">SEO Status: </w:t>
      </w:r>
      <w:r>
        <w:t>Ready for publication — verify current SCFHS classification criteria, fees and exemption list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