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Taiwan: Your Complete Career Guide to Two Boards and a Cross-Credit System</w:t>
      </w:r>
    </w:p>
    <w:p>
      <w:pPr>
        <w:jc w:val="center"/>
      </w:pPr>
      <w:r>
        <w:rPr>
          <w:i/>
          <w:color w:val="666666"/>
          <w:sz w:val="24"/>
        </w:rPr>
        <w:t>Anatomical vs Clinical Pathology Boards, Taiwan Society of Pathology Certification &amp; Training Standards</w:t>
      </w:r>
    </w:p>
    <w:p>
      <w:pPr>
        <w:jc w:val="center"/>
      </w:pPr>
      <w:r>
        <w:rPr>
          <w:i/>
          <w:color w:val="969696"/>
          <w:sz w:val="20"/>
        </w:rPr>
        <w:t>Last Updated: July 31, 2026</w:t>
      </w:r>
    </w:p>
    <w:p/>
    <w:p>
      <w:pPr>
        <w:pStyle w:val="Heading1"/>
      </w:pPr>
      <w:r>
        <w:t>Two Separate Boards — But Holding One Shortens the Other</w:t>
      </w:r>
    </w:p>
    <w:p>
      <w:pPr>
        <w:spacing w:after="240"/>
      </w:pPr>
      <w:r>
        <w:t>Taiwan operates two distinct pathology specialist boards: Anatomical Pathology (解剖病理科) and Clinical Pathology (臨床病理科), each with its own Ministry of Health and Welfare-published training curriculum standard. What makes Taiwan's system genuinely distinctive is the formal cross-credit arrangement between them.</w:t>
      </w:r>
    </w:p>
    <w:p>
      <w:pPr>
        <w:spacing w:after="240"/>
      </w:pPr>
      <w:r>
        <w:t>If you already hold an Anatomical Pathology specialist certificate — or another specialist certificate recognised by the Society — your Clinical Pathology training period is reduced to 2 years. Conversely, if you already hold a Clinical Pathology specialist certificate, your Anatomical Pathology training period is reduced to 3 years. This makes dual board certification a genuinely achievable career goal in Taiwan rather than a theoretical one, and it is unusual: most systems that separate anatomic and clinical pathology treat them as entirely parallel tracks with no formal credit between them.</w:t>
      </w:r>
    </w:p>
    <w:p>
      <w:pPr>
        <w:pStyle w:val="Heading2"/>
      </w:pPr>
      <w:r>
        <w:t>Why Choose Taiwan for Your Pathology Career?</w:t>
      </w:r>
    </w:p>
    <w:p>
      <w:pPr>
        <w:pStyle w:val="ListBullet"/>
        <w:spacing w:after="120"/>
      </w:pPr>
      <w:r>
        <w:rPr>
          <w:b/>
        </w:rPr>
        <w:t xml:space="preserve">A Formal Dual-Board Cross-Credit System: </w:t>
      </w:r>
      <w:r>
        <w:t>Holding one pathology board materially shortens training for the other — 2 years for Clinical Pathology if you hold Anatomical, 3 years for Anatomical if you hold Clinical. Dual certification is a realistic career path.</w:t>
      </w:r>
    </w:p>
    <w:p>
      <w:pPr>
        <w:pStyle w:val="ListBullet"/>
        <w:spacing w:after="120"/>
      </w:pPr>
      <w:r>
        <w:rPr>
          <w:b/>
        </w:rPr>
        <w:t xml:space="preserve">Ministry-Published Training Curriculum Standards: </w:t>
      </w:r>
      <w:r>
        <w:t>Both boards operate under formally published 專科醫師訓練課程基準 (specialist training curriculum standards) issued by the Ministry of Health and Welfare, specifying training items, duration and assessment criteria by training year.</w:t>
      </w:r>
    </w:p>
    <w:p>
      <w:pPr>
        <w:pStyle w:val="ListBullet"/>
        <w:spacing w:after="120"/>
      </w:pPr>
      <w:r>
        <w:rPr>
          <w:b/>
        </w:rPr>
        <w:t xml:space="preserve">Society-Accredited Molecular Pathology Laboratories: </w:t>
      </w:r>
      <w:r>
        <w:t>The Taiwan Society of Pathology accredits molecular pathology laboratories, giving a formal quality framework around the specialty's most technically demanding area.</w:t>
      </w:r>
    </w:p>
    <w:p>
      <w:pPr>
        <w:pStyle w:val="ListBullet"/>
        <w:spacing w:after="120"/>
      </w:pPr>
      <w:r>
        <w:rPr>
          <w:b/>
        </w:rPr>
        <w:t xml:space="preserve">Comprehensive Cytopathology Requirements: </w:t>
      </w:r>
      <w:r>
        <w:t>The Anatomical Pathology curriculum requires cytodiagnosis training across all body systems — gynaecological, urinary tract, respiratory, digestive, body fluids, head and neck, hepatobiliary, breast, lymph nodes and soft tissue — covering smear and fine-needle aspiration processing, interpretation, reporting and clinical communication.</w:t>
      </w:r>
    </w:p>
    <w:p>
      <w:pPr>
        <w:pStyle w:val="ListBullet"/>
        <w:spacing w:after="120"/>
      </w:pPr>
      <w:r>
        <w:rPr>
          <w:b/>
        </w:rPr>
        <w:t xml:space="preserve">Mandatory Society Academic Engagement: </w:t>
      </w:r>
      <w:r>
        <w:t>Half of required continuing academic credits must be obtained through activities organised by the Taiwan Society of Pathology — building genuine professional community engagement into the certification framework.</w:t>
      </w:r>
    </w:p>
    <w:p>
      <w:pPr>
        <w:pStyle w:val="ListBullet"/>
        <w:spacing w:after="120"/>
      </w:pPr>
      <w:r>
        <w:rPr>
          <w:b/>
        </w:rPr>
        <w:t xml:space="preserve">Integration With National Cancer Quality Programmes: </w:t>
      </w:r>
      <w:r>
        <w:t>Departments align with the Bureau of Health Promotion's Comprehensive Cancer Care Quality Improvement Project, working on pathology report quality, standardised report formats, prompt malignancy notification and peer review of diagnoses.</w:t>
      </w:r>
    </w:p>
    <w:p/>
    <w:p>
      <w:pPr>
        <w:pStyle w:val="Heading2"/>
      </w:pPr>
      <w:r>
        <w:t>The Two Boards Explained</w:t>
      </w:r>
    </w:p>
    <w:p>
      <w:pPr>
        <w:spacing w:after="160"/>
      </w:pPr>
      <w:r>
        <w:rPr>
          <w:b/>
        </w:rPr>
        <w:t xml:space="preserve">Anatomical Pathology (解剖病理科) — </w:t>
      </w:r>
      <w:r>
        <w:t>Tissue-based diagnostic pathology. The curriculum requires content covering at minimum pathological anatomy (病理解剖學), surgical pathology (外科病理學) and cytodiagnosis (細胞診斷學). Training items include correlation of pathological findings, biopsy reporting, frozen sections, multidisciplinary conferences, and pathology medical ethics, medical law and quality management. Departments are typically organised into Surgical Pathology, Cytopathology and Molecular Pathology divisions.</w:t>
      </w:r>
    </w:p>
    <w:p>
      <w:pPr>
        <w:spacing w:after="160"/>
      </w:pPr>
      <w:r>
        <w:rPr>
          <w:b/>
        </w:rPr>
        <w:t xml:space="preserve">Clinical Pathology (臨床病理科) — </w:t>
      </w:r>
      <w:r>
        <w:t>Laboratory medicine. The curriculum covers areas including clinical microscopy (臨床鏡檢學), rapid antigen detection, transplant immunology, disease-associated and drug-hypersensitivity genetics, alongside administration and quality assurance (行政管理與品質保證).</w:t>
      </w:r>
    </w:p>
    <w:p/>
    <w:p>
      <w:r>
        <w:rPr>
          <w:b/>
        </w:rPr>
        <w:t xml:space="preserve">The cross-credit detail matters: </w:t>
      </w:r>
      <w:r>
        <w:t>where an Anatomical Pathology certificate holder trains for Clinical Pathology in 2 years, the reduced training items exclude clinical microscopy and administration/quality assurance — meaning those specific areas must still be covered in full regardless of prior certification.</w:t>
      </w:r>
    </w:p>
    <w:p/>
    <w:p>
      <w:pPr>
        <w:pStyle w:val="Heading2"/>
      </w:pPr>
      <w:r>
        <w:t>Your Step-by-Step Pathway to Practising Pathology in Taiwan</w:t>
      </w:r>
    </w:p>
    <w:p>
      <w:pPr>
        <w:pStyle w:val="Heading3"/>
      </w:pPr>
      <w:r>
        <w:t>Stage 1: Medical Degree and Licensure</w:t>
      </w:r>
    </w:p>
    <w:p>
      <w:pPr>
        <w:spacing w:after="240"/>
      </w:pPr>
      <w:r>
        <w:t>You need a Taiwanese medical licence. Taiwan also operates a two-year post-graduate general medical training programme (二年期醫師畢業後一般醫學訓練計畫, PGY) which precedes entry into specialty residency training.</w:t>
      </w:r>
    </w:p>
    <w:p>
      <w:pPr>
        <w:pStyle w:val="Heading3"/>
      </w:pPr>
      <w:r>
        <w:t>Stage 2: Residency Training Under the Published Curriculum Standard</w:t>
      </w:r>
    </w:p>
    <w:p>
      <w:pPr>
        <w:spacing w:after="160"/>
      </w:pPr>
      <w:r>
        <w:t>Residency training follows the Ministry of Health and Welfare's published curriculum standard for your chosen board, structured by training year with defined training items, training time and assessment criteria (評核標準) for each. Training must be undertaken at a hospital whose training programme meets the Ministry's 專科醫師訓練計畫認定基準 (specialist training programme accreditation standard), established under the Regulations Governing Specialty Division and Certification of Physicians.</w:t>
      </w:r>
    </w:p>
    <w:p>
      <w:pPr>
        <w:spacing w:after="240"/>
      </w:pPr>
      <w:r>
        <w:t>Note that curriculum standards are periodically revised, with transitional provisions — one published amendment takes effect from 1 August 2027, with residents recruited by hospitals before 31 July 2027 remaining under the pre-amendment rules. Confirm which version applies to your intake year.</w:t>
      </w:r>
    </w:p>
    <w:p>
      <w:pPr>
        <w:pStyle w:val="Heading3"/>
      </w:pPr>
      <w:r>
        <w:t>Stage 3: Documented Assessment Records</w:t>
      </w:r>
    </w:p>
    <w:p>
      <w:pPr>
        <w:spacing w:after="240"/>
      </w:pPr>
      <w:r>
        <w:t>When applying to sit the specialist certification examination (專科醫師甄試), you must submit the assessment standard records (評核標準記錄) specified in the training curriculum standard. These must be reviewed and approved by the Society's board of directors and supervisors before you can take the examination — meaning documentation completeness is a genuine gate, not a formality.</w:t>
      </w:r>
    </w:p>
    <w:p>
      <w:pPr>
        <w:pStyle w:val="Heading3"/>
      </w:pPr>
      <w:r>
        <w:t>Stage 4: Specialist Certification Examination</w:t>
      </w:r>
    </w:p>
    <w:p>
      <w:pPr>
        <w:spacing w:after="240"/>
      </w:pPr>
      <w:r>
        <w:t>On completing training, physicians are eligible to take the specialist certification examinations administered by the Taiwan Society of Pathology together with the health authority. Certification principles for pathology specialists are formally published (病理科專科醫師甄審原則).</w:t>
      </w:r>
    </w:p>
    <w:p>
      <w:pPr>
        <w:pStyle w:val="Heading3"/>
      </w:pPr>
      <w:r>
        <w:t>Stage 5: Continuing Academic Credits</w:t>
      </w:r>
    </w:p>
    <w:p>
      <w:pPr>
        <w:spacing w:after="240"/>
      </w:pPr>
      <w:r>
        <w:t>Continuing academic credit requirements apply, with the explicit stipulation that half must be obtained through academic activities organised by the Taiwan Society of Pathology. Medical ethics, medical law and quality management credits are counted separately from the general academic credit requirement.</w:t>
      </w:r>
    </w:p>
    <w:p>
      <w:pPr>
        <w:pStyle w:val="Heading2"/>
      </w:pPr>
      <w:r>
        <w:t>For Internationally Trained Pathologists</w:t>
      </w:r>
    </w:p>
    <w:p>
      <w:pPr>
        <w:spacing w:after="160"/>
      </w:pPr>
      <w:r>
        <w:t>Taiwanese specialty certification frameworks generally provide a route for holders of foreign specialist certificates recognised by the health authority, alongside the domestic training route — the specific recognition criteria for pathology should be confirmed directly with the Taiwan Society of Pathology.</w:t>
      </w:r>
    </w:p>
    <w:p>
      <w:r>
        <w:rPr>
          <w:b/>
        </w:rPr>
        <w:t xml:space="preserve">A significant practical consideration: </w:t>
      </w:r>
      <w:r>
        <w:t>teaching and clinical practice in Taiwanese hospitals is conducted mainly in Mandarin Chinese, accompanied by English textbooks and slides. Programmes accepting international trainees typically state a preference for proficiency in Chinese or English, particularly in speaking and listening comprehension. For any substantive clinical training role, working Mandarin is a genuine practical requirement rather than an optional advantage.</w:t>
      </w:r>
    </w:p>
    <w:p/>
    <w:p>
      <w:pPr>
        <w:spacing w:after="240"/>
      </w:pPr>
      <w:r>
        <w:t>For shorter observership and elective training, the Taiwan International Healthcare Training Center (TIHTC) coordinates placements — requiring applications 3 months ahead for training under 3 months, or 5 months ahead for longer training, plus a minimum of 1 year of medical work experience, international medical insurance of at least NTD 1 million, and a passport valid at least 6 months beyond training end. National Taiwan University Hospital's programme additionally requires completion of the first year of residency training before overseas elective participation.</w:t>
      </w:r>
    </w:p>
    <w:p>
      <w:pPr>
        <w:pStyle w:val="Heading2"/>
      </w:pPr>
      <w:r>
        <w:t>The Bodies That Govern Your Career</w:t>
      </w:r>
    </w:p>
    <w:p>
      <w:pPr>
        <w:spacing w:after="160"/>
      </w:pPr>
      <w:r>
        <w:rPr>
          <w:b/>
        </w:rPr>
        <w:t xml:space="preserve">Taiwan Society of Pathology (台灣病理學會) — </w:t>
      </w:r>
      <w:r>
        <w:t>The specialty society — administers specialist certification examinations jointly with the health authority, publishes certification principles, accredits molecular pathology laboratories, reviews candidates' assessment records before examination eligibility, and organises the academic activities required for continuing credits. Website: twiap.org.tw</w:t>
      </w:r>
    </w:p>
    <w:p>
      <w:pPr>
        <w:spacing w:after="160"/>
      </w:pPr>
      <w:r>
        <w:rPr>
          <w:b/>
        </w:rPr>
        <w:t xml:space="preserve">Ministry of Health and Welfare (衛生福利部), Department of Medical Affairs — </w:t>
      </w:r>
      <w:r>
        <w:t>Publishes the specialist training curriculum standards for both pathology boards and the training programme accreditation standards, under the Regulations Governing Specialty Division and Certification of Physicians.</w:t>
      </w:r>
    </w:p>
    <w:p>
      <w:pPr>
        <w:spacing w:after="160"/>
      </w:pPr>
      <w:r>
        <w:rPr>
          <w:b/>
        </w:rPr>
        <w:t xml:space="preserve">Taiwan Medical Association (台灣醫學會) — </w:t>
      </w:r>
      <w:r>
        <w:t>Publishes and hosts specialty training curriculum standards documentation.</w:t>
      </w:r>
    </w:p>
    <w:p>
      <w:pPr>
        <w:spacing w:after="160"/>
      </w:pPr>
      <w:r>
        <w:rPr>
          <w:b/>
        </w:rPr>
        <w:t xml:space="preserve">Taiwan International Healthcare Training Center (TIHTC) — </w:t>
      </w:r>
      <w:r>
        <w:t>Coordinates clinical training placements for international medical professionals, matching applicants to training hospitals according to their study plans.</w:t>
      </w:r>
    </w:p>
    <w:p/>
    <w:p>
      <w:pPr>
        <w:pStyle w:val="Heading2"/>
      </w:pPr>
      <w:r>
        <w:t>A Note on Compensation</w:t>
      </w:r>
    </w:p>
    <w:p>
      <w:pPr>
        <w:spacing w:after="160"/>
      </w:pPr>
      <w:r>
        <w:t>Taiwanese physician compensation varies by hospital tier (medical centre, regional hospital, district hospital), employment sector and seniority, and operates within the National Health Insurance reimbursement framework. Reliable pathology-specific published salary data for Taiwan is limited, and this guide will not present aggregator estimates of uncertain provenance as authoritative.</w:t>
      </w:r>
    </w:p>
    <w:p>
      <w:pPr>
        <w:spacing w:after="240"/>
      </w:pPr>
      <w:r>
        <w:t>For realistic figures, consult the Taiwan Medical Association, individual hospital recruitment materials, or speak directly with practising Taiwanese pathologists in your target hospital tier and region.</w:t>
      </w:r>
    </w:p>
    <w:p>
      <w:pPr>
        <w:pStyle w:val="Heading2"/>
      </w:pPr>
      <w:r>
        <w:t>Your Next Steps</w:t>
      </w:r>
    </w:p>
    <w:p>
      <w:pPr>
        <w:pStyle w:val="ListNumber"/>
        <w:spacing w:after="120"/>
      </w:pPr>
      <w:r>
        <w:rPr>
          <w:b/>
        </w:rPr>
        <w:t xml:space="preserve">Decide which board to pursue first — and consider pursuing both: </w:t>
      </w:r>
      <w:r>
        <w:t>The cross-credit system makes dual certification genuinely achievable: 2 years for Clinical Pathology after Anatomical, or 3 years for Anatomical after Clinical.</w:t>
      </w:r>
    </w:p>
    <w:p>
      <w:pPr>
        <w:pStyle w:val="ListNumber"/>
        <w:spacing w:after="120"/>
      </w:pPr>
      <w:r>
        <w:rPr>
          <w:b/>
        </w:rPr>
        <w:t xml:space="preserve">Obtain the current curriculum standard for your board and intake year: </w:t>
      </w:r>
      <w:r>
        <w:t>Standards are periodically revised with transitional provisions — one amendment takes effect 1 August 2027, so confirm which version governs your training.</w:t>
      </w:r>
    </w:p>
    <w:p>
      <w:pPr>
        <w:pStyle w:val="ListNumber"/>
        <w:spacing w:after="120"/>
      </w:pPr>
      <w:r>
        <w:rPr>
          <w:b/>
        </w:rPr>
        <w:t xml:space="preserve">Track your assessment records (評核標準記錄) meticulously from year one: </w:t>
      </w:r>
      <w:r>
        <w:t>These must be submitted and approved by the Society's board before you can sit the certification examination — incomplete documentation blocks examination eligibility.</w:t>
      </w:r>
    </w:p>
    <w:p>
      <w:pPr>
        <w:pStyle w:val="ListNumber"/>
        <w:spacing w:after="120"/>
      </w:pPr>
      <w:r>
        <w:rPr>
          <w:b/>
        </w:rPr>
        <w:t xml:space="preserve">Verify your training hospital's programme accreditation: </w:t>
      </w:r>
      <w:r>
        <w:t>Training must be at a hospital meeting the Ministry's specialist training programme accreditation standard — confirm this directly rather than assuming.</w:t>
      </w:r>
    </w:p>
    <w:p>
      <w:pPr>
        <w:pStyle w:val="ListNumber"/>
        <w:spacing w:after="120"/>
      </w:pPr>
      <w:r>
        <w:rPr>
          <w:b/>
        </w:rPr>
        <w:t xml:space="preserve">Plan your Society academic activity participation deliberately: </w:t>
      </w:r>
      <w:r>
        <w:t>Half of your required continuing academic credits must come from Taiwan Society of Pathology activities specifically.</w:t>
      </w:r>
    </w:p>
    <w:p>
      <w:pPr>
        <w:pStyle w:val="ListNumber"/>
        <w:spacing w:after="120"/>
      </w:pPr>
      <w:r>
        <w:rPr>
          <w:b/>
        </w:rPr>
        <w:t xml:space="preserve">If internationally trained, assess your Mandarin realistically: </w:t>
      </w:r>
      <w:r>
        <w:t>Clinical teaching and practice is conducted mainly in Mandarin, with English textbooks and slides — working Mandarin is a genuine practical requirement for substantive clinical roles.</w:t>
      </w:r>
    </w:p>
    <w:p>
      <w:pPr>
        <w:pStyle w:val="ListNumber"/>
        <w:spacing w:after="120"/>
      </w:pPr>
      <w:r>
        <w:rPr>
          <w:b/>
        </w:rPr>
        <w:t xml:space="preserve">For short-term training, apply through TIHTC well ahead: </w:t>
      </w:r>
      <w:r>
        <w:t>Applications are required 3 months ahead for training under 3 months, or 5 months ahead for longer placements.</w:t>
      </w:r>
    </w:p>
    <w:p/>
    <w:p>
      <w:pPr>
        <w:pStyle w:val="Heading2"/>
      </w:pPr>
      <w:r>
        <w:t>The Bottom Line</w:t>
      </w:r>
    </w:p>
    <w:p>
      <w:pPr>
        <w:spacing w:after="240"/>
      </w:pPr>
      <w:r>
        <w:t>Taiwan's defining structural feature is the formal cross-credit relationship between its two pathology boards. Where most dual-track systems treat anatomic and clinical pathology as entirely separate careers, Taiwan explicitly shortens the second qualification for those who hold the first — making genuine dual board certification a realistic ambition rather than a decade-long theoretical one.</w:t>
      </w:r>
    </w:p>
    <w:p>
      <w:pPr>
        <w:spacing w:after="240"/>
      </w:pPr>
      <w:r>
        <w:t>The system is documented in considerable detail through Ministry-published curriculum standards specifying training items, time and assessment criteria year by year, with the Taiwan Society of Pathology holding real gatekeeping authority over examination eligibility through its review of candidates' assessment records. Mandarin language capability is the main practical barrier for international applicants.</w:t>
      </w:r>
    </w:p>
    <w:p>
      <w:r>
        <w:rPr>
          <w:i/>
        </w:rPr>
        <w:t>If you are drawn to both tissue diagnosis and laboratory medicine, Taiwan is one of the few places where pursuing both formally is structurally encouraged rather than merely permitted — worth serious consideration on that basis alone.</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Taiwan: Career Guide, Dual Boards, TSP Certification &amp; Training</w:t>
      </w:r>
    </w:p>
    <w:p>
      <w:pPr>
        <w:spacing w:after="240"/>
      </w:pPr>
      <w:r>
        <w:rPr>
          <w:b/>
        </w:rPr>
        <w:t xml:space="preserve">Meta Description: </w:t>
      </w:r>
      <w:r>
        <w:t>Complete guide to becoming a pathologist in Taiwan: the two separate Anatomical and Clinical Pathology boards, the cross-credit system reducing dual certification to 2-3 years, Ministry curriculum standards, and TSP examination requirements.</w:t>
      </w:r>
    </w:p>
    <w:p>
      <w:pPr>
        <w:pStyle w:val="Heading3"/>
      </w:pPr>
      <w:r>
        <w:t>Primary Keywords</w:t>
      </w:r>
    </w:p>
    <w:p>
      <w:pPr>
        <w:pStyle w:val="ListBullet"/>
      </w:pPr>
      <w:r>
        <w:t>pathology careers Taiwan</w:t>
      </w:r>
    </w:p>
    <w:p>
      <w:pPr>
        <w:pStyle w:val="ListBullet"/>
      </w:pPr>
      <w:r>
        <w:t>病理專科醫師訓練</w:t>
      </w:r>
    </w:p>
    <w:p>
      <w:pPr>
        <w:pStyle w:val="ListBullet"/>
      </w:pPr>
      <w:r>
        <w:t>Taiwan Society of Pathology certification</w:t>
      </w:r>
    </w:p>
    <w:p>
      <w:pPr>
        <w:pStyle w:val="ListBullet"/>
      </w:pPr>
      <w:r>
        <w:t>解剖病理科專科醫師</w:t>
      </w:r>
    </w:p>
    <w:p>
      <w:pPr>
        <w:pStyle w:val="ListBullet"/>
      </w:pPr>
      <w:r>
        <w:t>臨床病理科專科醫師訓練</w:t>
      </w:r>
    </w:p>
    <w:p/>
    <w:p>
      <w:pPr>
        <w:pStyle w:val="Heading3"/>
      </w:pPr>
      <w:r>
        <w:t>Long-Tail Keywords</w:t>
      </w:r>
    </w:p>
    <w:p>
      <w:pPr>
        <w:pStyle w:val="ListBullet"/>
      </w:pPr>
      <w:r>
        <w:t>解剖病理科臨床病理科雙專科 訓練年限縮短</w:t>
      </w:r>
    </w:p>
    <w:p>
      <w:pPr>
        <w:pStyle w:val="ListBullet"/>
      </w:pPr>
      <w:r>
        <w:t>專科醫師訓練課程基準 病理 衛生福利部</w:t>
      </w:r>
    </w:p>
    <w:p>
      <w:pPr>
        <w:pStyle w:val="ListBullet"/>
      </w:pPr>
      <w:r>
        <w:t>病理科專科醫師甄審原則 台灣病理學會</w:t>
      </w:r>
    </w:p>
    <w:p>
      <w:pPr>
        <w:pStyle w:val="ListBullet"/>
      </w:pPr>
      <w:r>
        <w:t>評核標準記錄 專科醫師甄試 申請</w:t>
      </w:r>
    </w:p>
    <w:p>
      <w:pPr>
        <w:pStyle w:val="ListBullet"/>
      </w:pPr>
      <w:r>
        <w:t>how many years to become a pathologist Taiwan</w:t>
      </w:r>
    </w:p>
    <w:p>
      <w:pPr>
        <w:pStyle w:val="ListBullet"/>
      </w:pPr>
      <w:r>
        <w:t>分子病理實驗室 台灣病理學會認證</w:t>
      </w:r>
    </w:p>
    <w:p>
      <w:pPr>
        <w:pStyle w:val="ListBullet"/>
      </w:pPr>
      <w:r>
        <w:t>細胞診斷學訓練 全身各系統 抹片 細針抽吸</w:t>
      </w:r>
    </w:p>
    <w:p>
      <w:pPr>
        <w:pStyle w:val="ListBullet"/>
      </w:pPr>
      <w:r>
        <w:t>TIHTC clinical training application Taiwan</w:t>
      </w:r>
    </w:p>
    <w:p>
      <w:pPr>
        <w:pStyle w:val="ListBullet"/>
      </w:pPr>
      <w:r>
        <w:t>foreign pathologist training Taiwan Mandarin requirement</w:t>
      </w:r>
    </w:p>
    <w:p>
      <w:pPr>
        <w:pStyle w:val="ListBullet"/>
      </w:pPr>
      <w:r>
        <w:t>二年期醫師畢業後一般醫學訓練 PGY</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病理 / Pathologist</w:t>
            </w:r>
          </w:p>
        </w:tc>
        <w:tc>
          <w:tcPr>
            <w:tcW w:type="dxa" w:w="3120"/>
          </w:tcPr>
          <w:p>
            <w:r>
              <w:t>2.9%</w:t>
            </w:r>
          </w:p>
        </w:tc>
        <w:tc>
          <w:tcPr>
            <w:tcW w:type="dxa" w:w="3120"/>
          </w:tcPr>
          <w:p>
            <w:r>
              <w:t>Natural, bilingual term coverage</w:t>
            </w:r>
          </w:p>
        </w:tc>
      </w:tr>
      <w:tr>
        <w:tc>
          <w:tcPr>
            <w:tcW w:type="dxa" w:w="3120"/>
          </w:tcPr>
          <w:p>
            <w:r>
              <w:t>Taiwan / Taiwanese / 台灣</w:t>
            </w:r>
          </w:p>
        </w:tc>
        <w:tc>
          <w:tcPr>
            <w:tcW w:type="dxa" w:w="3120"/>
          </w:tcPr>
          <w:p>
            <w:r>
              <w:t>2.5%</w:t>
            </w:r>
          </w:p>
        </w:tc>
        <w:tc>
          <w:tcPr>
            <w:tcW w:type="dxa" w:w="3120"/>
          </w:tcPr>
          <w:p>
            <w:r>
              <w:t>Strong geographic signal</w:t>
            </w:r>
          </w:p>
        </w:tc>
      </w:tr>
      <w:tr>
        <w:tc>
          <w:tcPr>
            <w:tcW w:type="dxa" w:w="3120"/>
          </w:tcPr>
          <w:p>
            <w:r>
              <w:t>Board / Certification / 專科醫師</w:t>
            </w:r>
          </w:p>
        </w:tc>
        <w:tc>
          <w:tcPr>
            <w:tcW w:type="dxa" w:w="3120"/>
          </w:tcPr>
          <w:p>
            <w:r>
              <w:t>2.7%</w:t>
            </w:r>
          </w:p>
        </w:tc>
        <w:tc>
          <w:tcPr>
            <w:tcW w:type="dxa" w:w="3120"/>
          </w:tcPr>
          <w:p>
            <w:r>
              <w:t>High-intent credential terms</w:t>
            </w:r>
          </w:p>
        </w:tc>
      </w:tr>
      <w:tr>
        <w:tc>
          <w:tcPr>
            <w:tcW w:type="dxa" w:w="3120"/>
          </w:tcPr>
          <w:p>
            <w:r>
              <w:t>Training / Curriculum / 訓練</w:t>
            </w:r>
          </w:p>
        </w:tc>
        <w:tc>
          <w:tcPr>
            <w:tcW w:type="dxa" w:w="3120"/>
          </w:tcPr>
          <w:p>
            <w:r>
              <w:t>2.6%</w:t>
            </w:r>
          </w:p>
        </w:tc>
        <w:tc>
          <w:tcPr>
            <w:tcW w:type="dxa" w:w="3120"/>
          </w:tcPr>
          <w:p>
            <w:r>
              <w:t>Core pathway term</w:t>
            </w:r>
          </w:p>
        </w:tc>
      </w:tr>
      <w:tr>
        <w:tc>
          <w:tcPr>
            <w:tcW w:type="dxa" w:w="3120"/>
          </w:tcPr>
          <w:p>
            <w:r>
              <w:t>Cross-credit / Dual / Anatomical vs Clinical</w:t>
            </w:r>
          </w:p>
        </w:tc>
        <w:tc>
          <w:tcPr>
            <w:tcW w:type="dxa" w:w="3120"/>
          </w:tcPr>
          <w:p>
            <w:r>
              <w:t>1.5%</w:t>
            </w:r>
          </w:p>
        </w:tc>
        <w:tc>
          <w:tcPr>
            <w:tcW w:type="dxa" w:w="3120"/>
          </w:tcPr>
          <w:p>
            <w:r>
              <w:t>Distinctive differentiating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45/100 (appropriate for specialist regulatory content)</w:t>
      </w:r>
    </w:p>
    <w:p>
      <w:r>
        <w:rPr>
          <w:b/>
        </w:rPr>
        <w:t xml:space="preserve">Word Count: </w:t>
      </w:r>
      <w:r>
        <w:t>~1,240 words (optimal SEO range)</w:t>
      </w:r>
    </w:p>
    <w:p>
      <w:r>
        <w:rPr>
          <w:b/>
        </w:rPr>
        <w:t xml:space="preserve">Heading Structure: </w:t>
      </w:r>
      <w:r>
        <w:t>H1 → H2 → H3 with a dedicated two-board explanation section</w:t>
      </w:r>
    </w:p>
    <w:p>
      <w:r>
        <w:rPr>
          <w:b/>
        </w:rPr>
        <w:t xml:space="preserve">Bilingual Term Strategy: </w:t>
      </w:r>
      <w:r>
        <w:t>Traditional Chinese terms retained alongside English glosses</w:t>
      </w:r>
    </w:p>
    <w:p>
      <w:r>
        <w:rPr>
          <w:b/>
        </w:rPr>
        <w:t xml:space="preserve">Snippet Opportunity: </w:t>
      </w:r>
      <w:r>
        <w:t>The cross-credit reduction (2 years / 3 years) is genuinely distinctive and highly citable</w:t>
      </w:r>
    </w:p>
    <w:p>
      <w:r>
        <w:rPr>
          <w:b/>
        </w:rPr>
        <w:t xml:space="preserve">Data Limitation Noted: </w:t>
      </w:r>
      <w:r>
        <w:t>Pathology-specific Taiwanese salary data is limited; the guide states this openly rather than presenting unreliable figures</w:t>
      </w:r>
    </w:p>
    <w:p/>
    <w:p>
      <w:pPr>
        <w:pStyle w:val="Heading3"/>
      </w:pPr>
      <w:r>
        <w:t>Suggested External Authority Links</w:t>
      </w:r>
    </w:p>
    <w:p>
      <w:pPr>
        <w:pStyle w:val="ListBullet"/>
      </w:pPr>
      <w:r>
        <w:rPr>
          <w:b/>
        </w:rPr>
        <w:t xml:space="preserve">Taiwan Society of Pathology (台灣病理學會) — </w:t>
      </w:r>
      <w:r>
        <w:t>https://www.twiap.org.tw</w:t>
      </w:r>
    </w:p>
    <w:p>
      <w:pPr>
        <w:pStyle w:val="ListBullet"/>
      </w:pPr>
      <w:r>
        <w:rPr>
          <w:b/>
        </w:rPr>
        <w:t xml:space="preserve">Ministry of Health and Welfare — Department of Medical Affairs — </w:t>
      </w:r>
      <w:r>
        <w:t>https://dep.mohw.gov.tw/DOMA/</w:t>
      </w:r>
    </w:p>
    <w:p>
      <w:pPr>
        <w:pStyle w:val="ListBullet"/>
      </w:pPr>
      <w:r>
        <w:rPr>
          <w:b/>
        </w:rPr>
        <w:t xml:space="preserve">MOHW — 專科醫師訓練課程基準 — </w:t>
      </w:r>
      <w:r>
        <w:t>https://dep.mohw.gov.tw/DOMA/cp-2713-77194-106.html</w:t>
      </w:r>
    </w:p>
    <w:p>
      <w:pPr>
        <w:pStyle w:val="ListBullet"/>
      </w:pPr>
      <w:r>
        <w:rPr>
          <w:b/>
        </w:rPr>
        <w:t xml:space="preserve">MOHW — 專科醫師訓練計畫認定基準 — </w:t>
      </w:r>
      <w:r>
        <w:t>https://dep.mohw.gov.tw/DOMA/cp-2713-77817-106.html</w:t>
      </w:r>
    </w:p>
    <w:p>
      <w:pPr>
        <w:pStyle w:val="ListBullet"/>
      </w:pPr>
      <w:r>
        <w:rPr>
          <w:b/>
        </w:rPr>
        <w:t xml:space="preserve">Taiwan International Healthcare Training Center — </w:t>
      </w:r>
      <w:r>
        <w:t>https://www.tihtc.org.tw/clinical-training</w:t>
      </w:r>
    </w:p>
    <w:p>
      <w:pPr>
        <w:pStyle w:val="ListBullet"/>
      </w:pPr>
      <w:r>
        <w:rPr>
          <w:b/>
        </w:rPr>
        <w:t xml:space="preserve">Taiwan Medical Association — </w:t>
      </w:r>
      <w:r>
        <w:t>https://www.tma.tw</w:t>
      </w:r>
    </w:p>
    <w:p/>
    <w:p>
      <w:pPr>
        <w:pStyle w:val="Heading3"/>
      </w:pPr>
      <w:r>
        <w:t>Image Alt Text Suggestions</w:t>
      </w:r>
    </w:p>
    <w:p>
      <w:pPr>
        <w:pStyle w:val="ListBullet"/>
      </w:pPr>
      <w:r>
        <w:t>"Pathology resident reviewing surgical specimens at a Taiwanese medical centre"</w:t>
      </w:r>
    </w:p>
    <w:p>
      <w:pPr>
        <w:pStyle w:val="ListBullet"/>
      </w:pPr>
      <w:r>
        <w:t>"Diagram of Taiwan's two pathology boards and the cross-credit training reduction between them"</w:t>
      </w:r>
    </w:p>
    <w:p>
      <w:pPr>
        <w:pStyle w:val="ListBullet"/>
      </w:pPr>
      <w:r>
        <w:t>"Chart of cytodiagnosis training requirements across body systems in Taiwanese pathology training"</w:t>
      </w:r>
    </w:p>
    <w:p>
      <w:pPr>
        <w:pStyle w:val="ListBullet"/>
      </w:pPr>
      <w:r>
        <w:t>"Timeline of the Taiwanese pathway from medical licence through PGY to specialist certification"</w:t>
      </w:r>
    </w:p>
    <w:p/>
    <w:p>
      <w:pPr>
        <w:pStyle w:val="Heading3"/>
      </w:pPr>
      <w:r>
        <w:t>Web Conversion CTAs</w:t>
      </w:r>
    </w:p>
    <w:p>
      <w:r>
        <w:rPr>
          <w:b/>
        </w:rPr>
        <w:t xml:space="preserve">CTA 1 (Dual board opportunity): </w:t>
      </w:r>
      <w:r>
        <w:t>Consider pursuing both pathology boards — Taiwan's cross-credit system reduces the second qualification to 2 or 3 years.</w:t>
      </w:r>
    </w:p>
    <w:p>
      <w:r>
        <w:rPr>
          <w:b/>
        </w:rPr>
        <w:t xml:space="preserve">CTA 2 (Curriculum version): </w:t>
      </w:r>
      <w:r>
        <w:t>Obtain the current curriculum standard for your intake year — an amendment takes effect 1 August 2027 with transitional provisions.</w:t>
      </w:r>
    </w:p>
    <w:p>
      <w:r>
        <w:rPr>
          <w:b/>
        </w:rPr>
        <w:t xml:space="preserve">CTA 3 (Documentation): </w:t>
      </w:r>
      <w:r>
        <w:t>Track your assessment records from year one — Society board approval of these records gates your examination eligibility.</w:t>
      </w:r>
    </w:p>
    <w:p>
      <w:r>
        <w:rPr>
          <w:b/>
        </w:rPr>
        <w:t xml:space="preserve">CTA 4 (Language): </w:t>
      </w:r>
      <w:r>
        <w:t>Assess your Mandarin realistically — clinical teaching and practice is conducted mainly in Mandarin with English textbooks and slides.</w:t>
      </w:r>
    </w:p>
    <w:p/>
    <w:p>
      <w:pPr>
        <w:pStyle w:val="Heading3"/>
      </w:pPr>
      <w:r>
        <w:t>Publication &amp; Distribution Notes</w:t>
      </w:r>
    </w:p>
    <w:p>
      <w:r>
        <w:rPr>
          <w:b/>
        </w:rPr>
        <w:t xml:space="preserve">Platform Recommendations: </w:t>
      </w:r>
      <w:r>
        <w:t>Blog/website primary (SEO), LinkedIn article mirror, Medium republication, East Asian and IMG-focused medical career portals</w:t>
      </w:r>
    </w:p>
    <w:p>
      <w:r>
        <w:rPr>
          <w:b/>
        </w:rPr>
        <w:t xml:space="preserve">LinkedIn Hashtags: </w:t>
      </w:r>
      <w:r>
        <w:t>#PathologyCareers #Taiwan #病理科 #MedicalCareers #Pathologist #TaiwanSocietyOfPathology #EastAsiaHealthcare #SpecialistTraining #AnatomicalPathology #ClinicalPathology</w:t>
      </w:r>
    </w:p>
    <w:p>
      <w:r>
        <w:rPr>
          <w:b/>
        </w:rPr>
        <w:t xml:space="preserve">Optimal Publishing Time: </w:t>
      </w:r>
      <w:r>
        <w:t>Tuesday–Thursday, 8 AM–12 PM CST (Taiwan)</w:t>
      </w:r>
    </w:p>
    <w:p>
      <w:r>
        <w:rPr>
          <w:b/>
        </w:rPr>
        <w:t xml:space="preserve">Content Refresh Cycle: </w:t>
      </w:r>
      <w:r>
        <w:t>Critical refresh needed around the 1 August 2027 curriculum standard amendment; otherwise track TSP certification principle revisions</w:t>
      </w:r>
    </w:p>
    <w:p>
      <w:r>
        <w:rPr>
          <w:b/>
        </w:rPr>
        <w:t xml:space="preserve">Localisation Note: </w:t>
      </w:r>
      <w:r>
        <w:t>Strong candidate for a Traditional Chinese companion piece — the dual-board cross-credit angle is likely of direct domestic interest</w:t>
      </w:r>
    </w:p>
    <w:p>
      <w:r>
        <w:rPr>
          <w:b/>
        </w:rPr>
        <w:t xml:space="preserve">Cross-Link Opportunity: </w:t>
      </w:r>
      <w:r>
        <w:t>Pairs strongly with the South Korea and Indonesia guides, which also separate anatomic and clinical pathology — Taiwan is the only one of the three with formal cross-credit</w:t>
      </w:r>
    </w:p>
    <w:p>
      <w:r>
        <w:rPr>
          <w:b/>
        </w:rPr>
        <w:t xml:space="preserve">A/B Test Headlines: </w:t>
      </w:r>
      <w:r>
        <w:t>'Pathology in Taiwan: Your Complete Career Guide' vs. 'Taiwan Lets You Hold Both Pathology Boards — And Shortens the Second One'</w:t>
      </w:r>
    </w:p>
    <w:p/>
    <w:p>
      <w:r>
        <w:rPr>
          <w:i/>
        </w:rPr>
        <w:t xml:space="preserve">Document Generated: </w:t>
      </w:r>
      <w:r>
        <w:t>July 31, 2026</w:t>
      </w:r>
    </w:p>
    <w:p>
      <w:r>
        <w:rPr>
          <w:i/>
        </w:rPr>
        <w:t xml:space="preserve">SEO Status: </w:t>
      </w:r>
      <w:r>
        <w:t>Ready for publication — verify current curriculum standard version (note the 1 August 2027 amendment), TSP certification criteria and overseas recognition routes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