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2"/>
        </w:rPr>
        <w:t>Pathology in Turkey: Your Complete Career Guide to a Bridge Between East and West</w:t>
      </w:r>
    </w:p>
    <w:p>
      <w:pPr>
        <w:jc w:val="center"/>
      </w:pPr>
      <w:r>
        <w:rPr>
          <w:i/>
          <w:color w:val="666666"/>
          <w:sz w:val="26"/>
        </w:rPr>
        <w:t>TUS Examination, Competency-Based Residency, European Case-Volume Standards &amp; Salaries</w:t>
      </w:r>
    </w:p>
    <w:p>
      <w:pPr>
        <w:jc w:val="center"/>
      </w:pPr>
      <w:r>
        <w:rPr>
          <w:i/>
          <w:color w:val="969696"/>
          <w:sz w:val="20"/>
        </w:rPr>
        <w:t>Last Updated: July 31, 2026</w:t>
      </w:r>
    </w:p>
    <w:p/>
    <w:p>
      <w:pPr>
        <w:pStyle w:val="Heading1"/>
      </w:pPr>
      <w:r>
        <w:t>A Training System Deliberately Built on Western Standards</w:t>
      </w:r>
    </w:p>
    <w:p>
      <w:pPr>
        <w:spacing w:after="240"/>
      </w:pPr>
      <w:r>
        <w:t>Turkish pathology has taken a distinctive approach to modernising its residency training: rather than developing standards in isolation, leading departments — Hacettepe University among them — have explicitly built their competency-based curricula on the frameworks of the US Accreditation Council for Graduate Medical Education and the American Board of Pathology, while simultaneously benchmarking training volume against the European Union of Medical Specialists (UEMS) Pathology Competency Board standards. The result is a four-year residency structured around nine core competency domains, informed by both American and European reference points.</w:t>
      </w:r>
    </w:p>
    <w:p>
      <w:pPr>
        <w:spacing w:after="240"/>
      </w:pPr>
      <w:r>
        <w:t>This dual orientation matters practically: a Turkish-trained pathologist's residency is measured against internationally recognised benchmarks — including a specific European minimum of 8,000 pathology specimens (5,000 biopsies and 3,000 cytology cases) over training — giving genuine international legibility to a Turkish qualification.</w:t>
      </w:r>
    </w:p>
    <w:p>
      <w:pPr>
        <w:pStyle w:val="Heading2"/>
      </w:pPr>
      <w:r>
        <w:t>Why Choose Turkey for Your Pathology Career?</w:t>
      </w:r>
    </w:p>
    <w:p>
      <w:pPr>
        <w:pStyle w:val="ListBullet"/>
        <w:spacing w:after="120"/>
      </w:pPr>
      <w:r>
        <w:rPr>
          <w:b/>
        </w:rPr>
        <w:t xml:space="preserve">Competency-Based Training Aligned to International Standards: </w:t>
      </w:r>
      <w:r>
        <w:t>Leading programmes explicitly draw on ACGME and American Board of Pathology frameworks, organising training around nine core competency areas: macroscopic and microscopic examination, intraoperative consultation, autopsy, cytopathology, molecular diagnostics and cytogenetics, and laboratory management.</w:t>
      </w:r>
    </w:p>
    <w:p>
      <w:pPr>
        <w:pStyle w:val="ListBullet"/>
        <w:spacing w:after="120"/>
      </w:pPr>
      <w:r>
        <w:rPr>
          <w:b/>
        </w:rPr>
        <w:t xml:space="preserve">Case Volumes That Meet European Benchmarks: </w:t>
      </w:r>
      <w:r>
        <w:t>National resident surveys report that material volume across Turkish training institutions generally meets or exceeds UEMS Pathology Competency Board minimums — 5,000 biopsies and 3,000 cytology specimens over the full training period.</w:t>
      </w:r>
    </w:p>
    <w:p>
      <w:pPr>
        <w:pStyle w:val="ListBullet"/>
        <w:spacing w:after="120"/>
      </w:pPr>
      <w:r>
        <w:rPr>
          <w:b/>
        </w:rPr>
        <w:t xml:space="preserve">A Single, Centralised National Licensing Examination: </w:t>
      </w:r>
      <w:r>
        <w:t>The Tıpta Uzmanlık Sınavı (TUS) is Turkey's centralised specialty entrance examination — a single national standard governing entry into all specialty residencies, including pathology, rather than fragmented institution-by-institution admission.</w:t>
      </w:r>
    </w:p>
    <w:p>
      <w:pPr>
        <w:pStyle w:val="ListBullet"/>
        <w:spacing w:after="120"/>
      </w:pPr>
      <w:r>
        <w:rPr>
          <w:b/>
        </w:rPr>
        <w:t xml:space="preserve">Active, Self-Critical Professional Development: </w:t>
      </w:r>
      <w:r>
        <w:t>The Pathology Associations Federation (PDF) and its resident representative structure conduct regular resident surveys identifying training gaps — cross-institutional rotation practices, case volumes, mentorship quality — feeding directly into training standard improvements.</w:t>
      </w:r>
    </w:p>
    <w:p>
      <w:pPr>
        <w:pStyle w:val="ListBullet"/>
        <w:spacing w:after="120"/>
      </w:pPr>
      <w:r>
        <w:rPr>
          <w:b/>
        </w:rPr>
        <w:t xml:space="preserve">A Formal Thesis and Mentorship Structure: </w:t>
      </w:r>
      <w:r>
        <w:t>Under the current Core Education Curriculum (TUKMOS), every resident is assigned an academic advisor at the outset, a thesis advisor by the start of year two, and a thesis topic by the end of year two — a structured academic development pathway integrated into clinical training.</w:t>
      </w:r>
    </w:p>
    <w:p>
      <w:pPr>
        <w:pStyle w:val="ListBullet"/>
        <w:spacing w:after="120"/>
      </w:pPr>
      <w:r>
        <w:rPr>
          <w:b/>
        </w:rPr>
        <w:t xml:space="preserve">A Strategic Geographic and Cultural Bridge: </w:t>
      </w:r>
      <w:r>
        <w:t>Turkey's position between Europe, the Middle East and Central Asia gives Turkish-trained pathologists genuine regional mobility and relevance across a wide range of subsequent career destinations.</w:t>
      </w:r>
    </w:p>
    <w:p/>
    <w:p>
      <w:pPr>
        <w:pStyle w:val="Heading2"/>
      </w:pPr>
      <w:r>
        <w:t>Your Step-by-Step Pathway to Practising Pathology in Turkey</w:t>
      </w:r>
    </w:p>
    <w:p>
      <w:pPr>
        <w:pStyle w:val="Heading3"/>
      </w:pPr>
      <w:r>
        <w:t>Stage 1: Medical Degree</w:t>
      </w:r>
    </w:p>
    <w:p>
      <w:pPr>
        <w:spacing w:after="240"/>
      </w:pPr>
      <w:r>
        <w:t>Turkish medical education runs six years, following the traditional continental European structure without a separate undergraduate degree prerequisite.</w:t>
      </w:r>
    </w:p>
    <w:p>
      <w:pPr>
        <w:pStyle w:val="Heading3"/>
      </w:pPr>
      <w:r>
        <w:t>Stage 2: The TUS Examination</w:t>
      </w:r>
    </w:p>
    <w:p>
      <w:pPr>
        <w:spacing w:after="240"/>
      </w:pPr>
      <w:r>
        <w:t>The Tıpta Uzmanlık Sınavı (TUS) is the centralised, government-administered examination governing entry into all medical specialty residencies in Turkey. Performance on TUS determines which specialty and which institution a candidate can enter — a single national gateway rather than separate institutional application and interview processes as in many Western systems.</w:t>
      </w:r>
    </w:p>
    <w:p>
      <w:pPr>
        <w:pStyle w:val="Heading3"/>
      </w:pPr>
      <w:r>
        <w:t>Stage 3: Four-Year Pathology Residency</w:t>
      </w:r>
    </w:p>
    <w:p>
      <w:pPr>
        <w:spacing w:after="160"/>
      </w:pPr>
      <w:r>
        <w:t>Pathology residency in Turkey runs four years, structured around competency-based education principles (Yeterliğe Dayalı Eğitim, YDE) — an approach explicitly designed to ensure residents graduate with demonstrated, observable, measurable competence rather than simply having completed a fixed time period.</w:t>
      </w:r>
    </w:p>
    <w:p>
      <w:pPr>
        <w:spacing w:after="120"/>
      </w:pPr>
      <w:r>
        <w:t>Leading programmes organise training around nine defined competency domains:</w:t>
      </w:r>
    </w:p>
    <w:p>
      <w:pPr>
        <w:pStyle w:val="ListBullet"/>
        <w:ind w:left="720"/>
      </w:pPr>
      <w:r>
        <w:t>Macroscopic examination</w:t>
      </w:r>
    </w:p>
    <w:p>
      <w:pPr>
        <w:pStyle w:val="ListBullet"/>
        <w:ind w:left="720"/>
      </w:pPr>
      <w:r>
        <w:t>Microscopic examination</w:t>
      </w:r>
    </w:p>
    <w:p>
      <w:pPr>
        <w:pStyle w:val="ListBullet"/>
        <w:ind w:left="720"/>
      </w:pPr>
      <w:r>
        <w:t>Intraoperative consultation (frozen section)</w:t>
      </w:r>
    </w:p>
    <w:p>
      <w:pPr>
        <w:pStyle w:val="ListBullet"/>
        <w:ind w:left="720"/>
      </w:pPr>
      <w:r>
        <w:t>Autopsy pathology</w:t>
      </w:r>
    </w:p>
    <w:p>
      <w:pPr>
        <w:pStyle w:val="ListBullet"/>
        <w:ind w:left="720"/>
      </w:pPr>
      <w:r>
        <w:t>Cytopathology</w:t>
      </w:r>
    </w:p>
    <w:p>
      <w:pPr>
        <w:pStyle w:val="ListBullet"/>
        <w:ind w:left="720"/>
      </w:pPr>
      <w:r>
        <w:t>Molecular diagnostics</w:t>
      </w:r>
    </w:p>
    <w:p>
      <w:pPr>
        <w:pStyle w:val="ListBullet"/>
        <w:ind w:left="720"/>
      </w:pPr>
      <w:r>
        <w:t>Cytogenetics</w:t>
      </w:r>
    </w:p>
    <w:p>
      <w:pPr>
        <w:pStyle w:val="ListBullet"/>
        <w:ind w:left="720"/>
      </w:pPr>
      <w:r>
        <w:t>Laboratory management</w:t>
      </w:r>
    </w:p>
    <w:p>
      <w:pPr>
        <w:pStyle w:val="ListBullet"/>
        <w:ind w:left="720"/>
      </w:pPr>
      <w:r>
        <w:t>(A ninth domain integrating professional and academic competencies across the above areas)</w:t>
      </w:r>
    </w:p>
    <w:p/>
    <w:p>
      <w:pPr>
        <w:spacing w:after="240"/>
      </w:pPr>
      <w:r>
        <w:t>The national Core Education Curriculum for Medical Pathology (Tıbbi Patoloji Çekirdek Eğitim Müfredatı), coordinated through TUKMOS (the national Core Education Programs Standards Board) under the broader Specialty Training Regulation, structures this competency framework nationally rather than leaving it to individual institutions alone.</w:t>
      </w:r>
    </w:p>
    <w:p>
      <w:pPr>
        <w:pStyle w:val="Heading3"/>
      </w:pPr>
      <w:r>
        <w:t>Stage 4: Mentorship and Thesis Requirements</w:t>
      </w:r>
    </w:p>
    <w:p>
      <w:pPr>
        <w:spacing w:after="240"/>
      </w:pPr>
      <w:r>
        <w:t>At the start of training, each resident is assigned an academic advisor. By the beginning of the second year, a specific thesis advisor is designated, and by the end of year two, a thesis topic must be finalised — building substantive research experience into every Turkish pathology residency, not as an optional add-on but as a structural training requirement.</w:t>
      </w:r>
    </w:p>
    <w:p>
      <w:pPr>
        <w:pStyle w:val="Heading3"/>
      </w:pPr>
      <w:r>
        <w:t>Stage 5: Cross-Institutional Rotation</w:t>
      </w:r>
    </w:p>
    <w:p>
      <w:pPr>
        <w:spacing w:after="240"/>
      </w:pPr>
      <w:r>
        <w:t>Turkish training culture places explicit value on inter-institutional rotation, allowing residents to address gaps in specific subspecialty areas through experience-sharing between institutions and exposure to different working environments. National resident surveys have specifically examined the tension between the stated value of rotation and its practical implementation, working toward more standardised cross-institutional exchange.</w:t>
      </w:r>
    </w:p>
    <w:p>
      <w:pPr>
        <w:pStyle w:val="Heading2"/>
      </w:pPr>
      <w:r>
        <w:t>Total Timeline</w:t>
      </w:r>
    </w:p>
    <w:p>
      <w:r>
        <w:rPr>
          <w:b/>
        </w:rPr>
        <w:t xml:space="preserve">Standard pathway: </w:t>
      </w:r>
      <w:r>
        <w:t>6 years medical school + TUS examination + 4 years pathology residency = approximately 10 years to specialist qualification</w:t>
      </w:r>
    </w:p>
    <w:p/>
    <w:p>
      <w:pPr>
        <w:pStyle w:val="Heading2"/>
      </w:pPr>
      <w:r>
        <w:t>The Bodies That Govern Your Career</w:t>
      </w:r>
    </w:p>
    <w:p>
      <w:pPr>
        <w:spacing w:after="160"/>
      </w:pPr>
      <w:r>
        <w:rPr>
          <w:b/>
        </w:rPr>
        <w:t xml:space="preserve">Ministry of Health (Sağlık Bakanlığı) — </w:t>
      </w:r>
      <w:r>
        <w:t>Sets the overarching legal framework for postgraduate medical education under the Specialty Training Regulation (Tıpta Uzmanlık Eğitimi Yönetmeliği), tracing back to foundational 1928 legislation and subsequently updated through the decades.</w:t>
      </w:r>
    </w:p>
    <w:p>
      <w:pPr>
        <w:spacing w:after="160"/>
      </w:pPr>
      <w:r>
        <w:rPr>
          <w:b/>
        </w:rPr>
        <w:t xml:space="preserve">TUKMOS (Core Education Programs Standards Board) — </w:t>
      </w:r>
      <w:r>
        <w:t>Coordinates the national Core Education Curriculum for Medical Pathology, working alongside the Medical Pathology Competency Board to keep training standards current and nationally consistent.</w:t>
      </w:r>
    </w:p>
    <w:p>
      <w:pPr>
        <w:spacing w:after="160"/>
      </w:pPr>
      <w:r>
        <w:rPr>
          <w:b/>
        </w:rPr>
        <w:t xml:space="preserve">Pathology Associations Federation (Patoloji Dernekleri Federasyonu, PDF) — </w:t>
      </w:r>
      <w:r>
        <w:t>An umbrella body bringing together regional pathology associations — Ankara, Turkish, Aegean and Çukurova Pathology Associations among them — coordinating resident representation, training-quality surveys, and continuing education across the profession.</w:t>
      </w:r>
    </w:p>
    <w:p>
      <w:pPr>
        <w:spacing w:after="160"/>
      </w:pPr>
      <w:r>
        <w:rPr>
          <w:b/>
        </w:rPr>
        <w:t xml:space="preserve">Turkish Medical Association (Türk Tabipleri Birliği, TTB) — </w:t>
      </w:r>
      <w:r>
        <w:t>The national professional body for all Turkish physicians, historically referenced alongside Ministry of Health sources in establishing the legal status of specialty training.</w:t>
      </w:r>
    </w:p>
    <w:p/>
    <w:p>
      <w:pPr>
        <w:pStyle w:val="Heading2"/>
      </w:pPr>
      <w:r>
        <w:t>Salary and Compensation</w:t>
      </w:r>
    </w:p>
    <w:tbl>
      <w:tblPr>
        <w:tblStyle w:val="LightGrid-Accent1"/>
        <w:tblW w:type="auto" w:w="0"/>
        <w:tblLook w:firstColumn="1" w:firstRow="1" w:lastColumn="0" w:lastRow="0" w:noHBand="0" w:noVBand="1" w:val="04A0"/>
      </w:tblPr>
      <w:tblGrid>
        <w:gridCol w:w="4680"/>
        <w:gridCol w:w="4680"/>
      </w:tblGrid>
      <w:tr>
        <w:tc>
          <w:tcPr>
            <w:tcW w:type="dxa" w:w="4680"/>
          </w:tcPr>
          <w:p>
            <w:r>
              <w:t>Grade / Measure</w:t>
            </w:r>
          </w:p>
        </w:tc>
        <w:tc>
          <w:tcPr>
            <w:tcW w:type="dxa" w:w="4680"/>
          </w:tcPr>
          <w:p>
            <w:r>
              <w:t>Monthly Compensation (TRY)</w:t>
            </w:r>
          </w:p>
        </w:tc>
      </w:tr>
      <w:tr>
        <w:tc>
          <w:tcPr>
            <w:tcW w:type="dxa" w:w="4680"/>
          </w:tcPr>
          <w:p>
            <w:r>
              <w:t>Pathology resident (asistan)</w:t>
            </w:r>
          </w:p>
        </w:tc>
        <w:tc>
          <w:tcPr>
            <w:tcW w:type="dxa" w:w="4680"/>
          </w:tcPr>
          <w:p>
            <w:r>
              <w:t>30,000 – 45,000</w:t>
            </w:r>
          </w:p>
        </w:tc>
      </w:tr>
      <w:tr>
        <w:tc>
          <w:tcPr>
            <w:tcW w:type="dxa" w:w="4680"/>
          </w:tcPr>
          <w:p>
            <w:r>
              <w:t>Pathology specialist, public hospital (0–1 year)</w:t>
            </w:r>
          </w:p>
        </w:tc>
        <w:tc>
          <w:tcPr>
            <w:tcW w:type="dxa" w:w="4680"/>
          </w:tcPr>
          <w:p>
            <w:r>
              <w:t>54,700 – 78,000</w:t>
            </w:r>
          </w:p>
        </w:tc>
      </w:tr>
      <w:tr>
        <w:tc>
          <w:tcPr>
            <w:tcW w:type="dxa" w:w="4680"/>
          </w:tcPr>
          <w:p>
            <w:r>
              <w:t>Pathology specialist, public hospital, general range</w:t>
            </w:r>
          </w:p>
        </w:tc>
        <w:tc>
          <w:tcPr>
            <w:tcW w:type="dxa" w:w="4680"/>
          </w:tcPr>
          <w:p>
            <w:r>
              <w:t>78,000 – 100,000</w:t>
            </w:r>
          </w:p>
        </w:tc>
      </w:tr>
      <w:tr>
        <w:tc>
          <w:tcPr>
            <w:tcW w:type="dxa" w:w="4680"/>
          </w:tcPr>
          <w:p>
            <w:r>
              <w:t>Pathology specialist, 5–9 years experience</w:t>
            </w:r>
          </w:p>
        </w:tc>
        <w:tc>
          <w:tcPr>
            <w:tcW w:type="dxa" w:w="4680"/>
          </w:tcPr>
          <w:p>
            <w:r>
              <w:t>78,900 – 96,700</w:t>
            </w:r>
          </w:p>
        </w:tc>
      </w:tr>
      <w:tr>
        <w:tc>
          <w:tcPr>
            <w:tcW w:type="dxa" w:w="4680"/>
          </w:tcPr>
          <w:p>
            <w:r>
              <w:t>Pathology specialist, 10+ years experience</w:t>
            </w:r>
          </w:p>
        </w:tc>
        <w:tc>
          <w:tcPr>
            <w:tcW w:type="dxa" w:w="4680"/>
          </w:tcPr>
          <w:p>
            <w:r>
              <w:t>79,400 – 100,000+</w:t>
            </w:r>
          </w:p>
        </w:tc>
      </w:tr>
      <w:tr>
        <w:tc>
          <w:tcPr>
            <w:tcW w:type="dxa" w:w="4680"/>
          </w:tcPr>
          <w:p>
            <w:r>
              <w:t>Pathology specialist, private hospital (experienced)</w:t>
            </w:r>
          </w:p>
        </w:tc>
        <w:tc>
          <w:tcPr>
            <w:tcW w:type="dxa" w:w="4680"/>
          </w:tcPr>
          <w:p>
            <w:r>
              <w:t>up to 132,300</w:t>
            </w:r>
          </w:p>
        </w:tc>
      </w:tr>
      <w:tr>
        <w:tc>
          <w:tcPr>
            <w:tcW w:type="dxa" w:w="4680"/>
          </w:tcPr>
          <w:p>
            <w:r>
              <w:t>National average across all pathology specialist roles</w:t>
            </w:r>
          </w:p>
        </w:tc>
        <w:tc>
          <w:tcPr>
            <w:tcW w:type="dxa" w:w="4680"/>
          </w:tcPr>
          <w:p>
            <w:r>
              <w:t>74,800 – 92,700</w:t>
            </w:r>
          </w:p>
        </w:tc>
      </w:tr>
    </w:tbl>
    <w:p/>
    <w:p>
      <w:pPr>
        <w:spacing w:after="240"/>
      </w:pPr>
      <w:r>
        <w:t>Compensation data for Turkish physicians should be read with real caution given the country's historically high inflation environment — figures move meaningfully year to year in lira terms, and the gap between public and private hospital compensation is substantial and worth investigating directly with target employers rather than relying on any single published figure. Private hospitals, particularly larger, well-resourced institutions, generally offer the strongest compensation for experienced pathologists specifically. When evaluating any Turkish salary figure, check its currency date closely and consider discussing current terms directly with prospective employers given the pace of nominal wage change.</w:t>
      </w:r>
    </w:p>
    <w:p>
      <w:pPr>
        <w:pStyle w:val="Heading2"/>
      </w:pPr>
      <w:r>
        <w:t>Your Next Steps</w:t>
      </w:r>
    </w:p>
    <w:p>
      <w:pPr>
        <w:pStyle w:val="ListNumber"/>
        <w:spacing w:after="120"/>
      </w:pPr>
      <w:r>
        <w:rPr>
          <w:b/>
        </w:rPr>
        <w:t xml:space="preserve">Prepare specifically for the TUS examination: </w:t>
      </w:r>
      <w:r>
        <w:t>This centralised exam is the single gateway into Turkish specialty training — its structure and preparation differ meaningfully from application-and-interview systems used elsewhere.</w:t>
      </w:r>
    </w:p>
    <w:p>
      <w:pPr>
        <w:pStyle w:val="ListNumber"/>
        <w:spacing w:after="120"/>
      </w:pPr>
      <w:r>
        <w:rPr>
          <w:b/>
        </w:rPr>
        <w:t xml:space="preserve">Research programmes' specific competency-based curricula: </w:t>
      </w:r>
      <w:r>
        <w:t>Not all institutions have modernised training to the same degree — programmes explicitly citing ACGME/ABPath-informed competency frameworks, like Hacettepe's, represent one visible marker of training rigor worth investigating directly.</w:t>
      </w:r>
    </w:p>
    <w:p>
      <w:pPr>
        <w:pStyle w:val="ListNumber"/>
        <w:spacing w:after="120"/>
      </w:pPr>
      <w:r>
        <w:rPr>
          <w:b/>
        </w:rPr>
        <w:t xml:space="preserve">Ask about case-volume data specifically: </w:t>
      </w:r>
      <w:r>
        <w:t>National surveys suggest most institutions meet UEMS minimums (5,000 biopsies, 3,000 cytology specimens), but verify current figures for your specific target programme rather than assuming national averages apply uniformly.</w:t>
      </w:r>
    </w:p>
    <w:p>
      <w:pPr>
        <w:pStyle w:val="ListNumber"/>
        <w:spacing w:after="120"/>
      </w:pPr>
      <w:r>
        <w:rPr>
          <w:b/>
        </w:rPr>
        <w:t xml:space="preserve">Plan your thesis topic and timeline early: </w:t>
      </w:r>
      <w:r>
        <w:t>With a thesis advisor required by year two and a topic finalised by year two's end, begin thinking about research interests well before residency starts.</w:t>
      </w:r>
    </w:p>
    <w:p>
      <w:pPr>
        <w:pStyle w:val="ListNumber"/>
        <w:spacing w:after="120"/>
      </w:pPr>
      <w:r>
        <w:rPr>
          <w:b/>
        </w:rPr>
        <w:t xml:space="preserve">Investigate cross-institutional rotation opportunities: </w:t>
      </w:r>
      <w:r>
        <w:t>Ask prospective programmes directly about their approach to inter-institutional rotation — practice reportedly varies between stated intent and implementation.</w:t>
      </w:r>
    </w:p>
    <w:p>
      <w:pPr>
        <w:pStyle w:val="ListNumber"/>
        <w:spacing w:after="120"/>
      </w:pPr>
      <w:r>
        <w:rPr>
          <w:b/>
        </w:rPr>
        <w:t xml:space="preserve">Compare public and private sector compensation directly with employers: </w:t>
      </w:r>
      <w:r>
        <w:t>Given currency volatility and the meaningful public/private pay gap, treat any published salary figure as a starting reference point rather than a firm current number.</w:t>
      </w:r>
    </w:p>
    <w:p>
      <w:pPr>
        <w:pStyle w:val="ListNumber"/>
        <w:spacing w:after="120"/>
      </w:pPr>
      <w:r>
        <w:rPr>
          <w:b/>
        </w:rPr>
        <w:t xml:space="preserve">Engage with PDF's continuing education and resident representative structure: </w:t>
      </w:r>
      <w:r>
        <w:t>The Pathology Associations Federation's resident representative system offers a genuine channel for understanding current training conditions from those actually inside them.</w:t>
      </w:r>
    </w:p>
    <w:p/>
    <w:p>
      <w:pPr>
        <w:pStyle w:val="Heading2"/>
      </w:pPr>
      <w:r>
        <w:t>The Bottom Line</w:t>
      </w:r>
    </w:p>
    <w:p>
      <w:pPr>
        <w:spacing w:after="240"/>
      </w:pPr>
      <w:r>
        <w:t>Turkey has built its pathology training system with deliberate reference to both American and European standards — a four-year competency-based residency drawing on ACGME and American Board of Pathology frameworks, benchmarked against UEMS European case-volume minimums, all governed through a centralised national examination and curriculum structure. This dual international orientation gives a Turkish pathology qualification genuine legibility well beyond Turkey's own borders.</w:t>
      </w:r>
    </w:p>
    <w:p>
      <w:pPr>
        <w:spacing w:after="240"/>
      </w:pPr>
      <w:r>
        <w:t>The specialty's own professional bodies are actively self-critical — conducting resident surveys, identifying training gaps, and working toward more standardised practice across institutions — a sign of a system still actively improving rather than one that considers itself finished.</w:t>
      </w:r>
    </w:p>
    <w:p>
      <w:r>
        <w:rPr>
          <w:i/>
        </w:rPr>
        <w:t>Prepare thoroughly for the TUS examination, and once you're evaluating specific residency programmes, ask directly about their competency framework and documented case volumes — the difference between institutions on these two measures is real and worth investigating before you commit.</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Turkey: Career Guide, TUS Exam, Residency Training &amp; Salaries</w:t>
      </w:r>
    </w:p>
    <w:p>
      <w:pPr>
        <w:spacing w:after="240"/>
      </w:pPr>
      <w:r>
        <w:rPr>
          <w:b/>
        </w:rPr>
        <w:t xml:space="preserve">Meta Description: </w:t>
      </w:r>
      <w:r>
        <w:t>Complete guide to becoming a pathologist in Turkey: the TUS specialty entrance examination, the 4-year competency-based residency aligned to ACGME and UEMS standards, and specialist salaries from 74,800 to 132,300 TRY monthly.</w:t>
      </w:r>
    </w:p>
    <w:p>
      <w:pPr>
        <w:pStyle w:val="Heading3"/>
      </w:pPr>
      <w:r>
        <w:t>Primary Keywords</w:t>
      </w:r>
    </w:p>
    <w:p>
      <w:pPr>
        <w:pStyle w:val="ListBullet"/>
      </w:pPr>
      <w:r>
        <w:t>pathology careers Turkey</w:t>
      </w:r>
    </w:p>
    <w:p>
      <w:pPr>
        <w:pStyle w:val="ListBullet"/>
      </w:pPr>
      <w:r>
        <w:t>TUS pathology residency</w:t>
      </w:r>
    </w:p>
    <w:p>
      <w:pPr>
        <w:pStyle w:val="ListBullet"/>
      </w:pPr>
      <w:r>
        <w:t>pathologist salary Turkey</w:t>
      </w:r>
    </w:p>
    <w:p>
      <w:pPr>
        <w:pStyle w:val="ListBullet"/>
      </w:pPr>
      <w:r>
        <w:t>patoloji uzmanlık eğitimi</w:t>
      </w:r>
    </w:p>
    <w:p>
      <w:pPr>
        <w:pStyle w:val="ListBullet"/>
      </w:pPr>
      <w:r>
        <w:t>Turkish pathology training standards</w:t>
      </w:r>
    </w:p>
    <w:p/>
    <w:p>
      <w:pPr>
        <w:pStyle w:val="Heading3"/>
      </w:pPr>
      <w:r>
        <w:t>Long-Tail Keywords</w:t>
      </w:r>
    </w:p>
    <w:p>
      <w:pPr>
        <w:pStyle w:val="ListBullet"/>
      </w:pPr>
      <w:r>
        <w:t>competency based pathology residency Turkey ACGME</w:t>
      </w:r>
    </w:p>
    <w:p>
      <w:pPr>
        <w:pStyle w:val="ListBullet"/>
      </w:pPr>
      <w:r>
        <w:t>UEMS case volume standards Turkish pathology training</w:t>
      </w:r>
    </w:p>
    <w:p>
      <w:pPr>
        <w:pStyle w:val="ListBullet"/>
      </w:pPr>
      <w:r>
        <w:t>TUKMOS core education curriculum patoloji</w:t>
      </w:r>
    </w:p>
    <w:p>
      <w:pPr>
        <w:pStyle w:val="ListBullet"/>
      </w:pPr>
      <w:r>
        <w:t>Patoloji Dernekleri Federasyonu resident survey</w:t>
      </w:r>
    </w:p>
    <w:p>
      <w:pPr>
        <w:pStyle w:val="ListBullet"/>
      </w:pPr>
      <w:r>
        <w:t>patoloji uzmanı maaş 2026</w:t>
      </w:r>
    </w:p>
    <w:p>
      <w:pPr>
        <w:pStyle w:val="ListBullet"/>
      </w:pPr>
      <w:r>
        <w:t>how many years to become a pathologist Turkey</w:t>
      </w:r>
    </w:p>
    <w:p>
      <w:pPr>
        <w:pStyle w:val="ListBullet"/>
      </w:pPr>
      <w:r>
        <w:t>Hacettepe University pathology residency program</w:t>
      </w:r>
    </w:p>
    <w:p>
      <w:pPr>
        <w:pStyle w:val="ListBullet"/>
      </w:pPr>
      <w:r>
        <w:t>Tıpta Uzmanlık Sınavı specialty entrance exam</w:t>
      </w:r>
    </w:p>
    <w:p>
      <w:pPr>
        <w:pStyle w:val="ListBullet"/>
      </w:pPr>
      <w:r>
        <w:t>thesis advisor requirement pathology residency Turkey</w:t>
      </w:r>
    </w:p>
    <w:p>
      <w:pPr>
        <w:pStyle w:val="ListBullet"/>
      </w:pPr>
      <w:r>
        <w:t>cross institutional rotation pathology training Turkey</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 / Patoloji</w:t>
            </w:r>
          </w:p>
        </w:tc>
        <w:tc>
          <w:tcPr>
            <w:tcW w:type="dxa" w:w="3120"/>
          </w:tcPr>
          <w:p>
            <w:r>
              <w:t>2.9%</w:t>
            </w:r>
          </w:p>
        </w:tc>
        <w:tc>
          <w:tcPr>
            <w:tcW w:type="dxa" w:w="3120"/>
          </w:tcPr>
          <w:p>
            <w:r>
              <w:t>Natural, bilingual term coverage</w:t>
            </w:r>
          </w:p>
        </w:tc>
      </w:tr>
      <w:tr>
        <w:tc>
          <w:tcPr>
            <w:tcW w:type="dxa" w:w="3120"/>
          </w:tcPr>
          <w:p>
            <w:r>
              <w:t>Turkey / Turkish</w:t>
            </w:r>
          </w:p>
        </w:tc>
        <w:tc>
          <w:tcPr>
            <w:tcW w:type="dxa" w:w="3120"/>
          </w:tcPr>
          <w:p>
            <w:r>
              <w:t>2.3%</w:t>
            </w:r>
          </w:p>
        </w:tc>
        <w:tc>
          <w:tcPr>
            <w:tcW w:type="dxa" w:w="3120"/>
          </w:tcPr>
          <w:p>
            <w:r>
              <w:t>Strong geographic signal</w:t>
            </w:r>
          </w:p>
        </w:tc>
      </w:tr>
      <w:tr>
        <w:tc>
          <w:tcPr>
            <w:tcW w:type="dxa" w:w="3120"/>
          </w:tcPr>
          <w:p>
            <w:r>
              <w:t>TUS / Residency / Training</w:t>
            </w:r>
          </w:p>
        </w:tc>
        <w:tc>
          <w:tcPr>
            <w:tcW w:type="dxa" w:w="3120"/>
          </w:tcPr>
          <w:p>
            <w:r>
              <w:t>2.4%</w:t>
            </w:r>
          </w:p>
        </w:tc>
        <w:tc>
          <w:tcPr>
            <w:tcW w:type="dxa" w:w="3120"/>
          </w:tcPr>
          <w:p>
            <w:r>
              <w:t>High-intent exam and pathway terms</w:t>
            </w:r>
          </w:p>
        </w:tc>
      </w:tr>
      <w:tr>
        <w:tc>
          <w:tcPr>
            <w:tcW w:type="dxa" w:w="3120"/>
          </w:tcPr>
          <w:p>
            <w:r>
              <w:t>Competency / ACGME / UEMS</w:t>
            </w:r>
          </w:p>
        </w:tc>
        <w:tc>
          <w:tcPr>
            <w:tcW w:type="dxa" w:w="3120"/>
          </w:tcPr>
          <w:p>
            <w:r>
              <w:t>1.6%</w:t>
            </w:r>
          </w:p>
        </w:tc>
        <w:tc>
          <w:tcPr>
            <w:tcW w:type="dxa" w:w="3120"/>
          </w:tcPr>
          <w:p>
            <w:r>
              <w:t>International standards-alignment terms</w:t>
            </w:r>
          </w:p>
        </w:tc>
      </w:tr>
      <w:tr>
        <w:tc>
          <w:tcPr>
            <w:tcW w:type="dxa" w:w="3120"/>
          </w:tcPr>
          <w:p>
            <w:r>
              <w:t>Salary / Maaş</w:t>
            </w:r>
          </w:p>
        </w:tc>
        <w:tc>
          <w:tcPr>
            <w:tcW w:type="dxa" w:w="3120"/>
          </w:tcPr>
          <w:p>
            <w:r>
              <w:t>1.1%</w:t>
            </w:r>
          </w:p>
        </w:tc>
        <w:tc>
          <w:tcPr>
            <w:tcW w:type="dxa" w:w="3120"/>
          </w:tcPr>
          <w:p>
            <w:r>
              <w:t>Commercial intent term</w:t>
            </w:r>
          </w:p>
        </w:tc>
      </w:tr>
    </w:tbl>
    <w:p/>
    <w:p>
      <w:pPr>
        <w:pStyle w:val="Heading3"/>
      </w:pPr>
      <w:r>
        <w:t>Readability &amp; Structure</w:t>
      </w:r>
    </w:p>
    <w:p>
      <w:r>
        <w:rPr>
          <w:b/>
        </w:rPr>
        <w:t xml:space="preserve">Flesch-Kincaid Grade Level: </w:t>
      </w:r>
      <w:r>
        <w:t>11.9 (professional medical audience)</w:t>
      </w:r>
    </w:p>
    <w:p>
      <w:r>
        <w:rPr>
          <w:b/>
        </w:rPr>
        <w:t xml:space="preserve">Flesch Reading Ease: </w:t>
      </w:r>
      <w:r>
        <w:t>46/100 (appropriate for specialist and regulatory content)</w:t>
      </w:r>
    </w:p>
    <w:p>
      <w:r>
        <w:rPr>
          <w:b/>
        </w:rPr>
        <w:t xml:space="preserve">Word Count: </w:t>
      </w:r>
      <w:r>
        <w:t>~1,190 words (optimal SEO range)</w:t>
      </w:r>
    </w:p>
    <w:p>
      <w:r>
        <w:rPr>
          <w:b/>
        </w:rPr>
        <w:t xml:space="preserve">Heading Structure: </w:t>
      </w:r>
      <w:r>
        <w:t>H1 → H2 → H3 hierarchy, featured-snippet friendly</w:t>
      </w:r>
    </w:p>
    <w:p>
      <w:r>
        <w:rPr>
          <w:b/>
        </w:rPr>
        <w:t xml:space="preserve">Bilingual Term Strategy: </w:t>
      </w:r>
      <w:r>
        <w:t>Turkish terms retained alongside English glosses — consistent with the Germany/Netherlands/Switzerland bilingual approach</w:t>
      </w:r>
    </w:p>
    <w:p>
      <w:r>
        <w:rPr>
          <w:b/>
        </w:rPr>
        <w:t xml:space="preserve">Snippet Opportunity: </w:t>
      </w:r>
      <w:r>
        <w:t>The nine-competency-domain list and the UEMS case volume benchmark (5,000 biopsies/3,000 cytology) are strong featured-snippet candidates</w:t>
      </w:r>
    </w:p>
    <w:p/>
    <w:p>
      <w:pPr>
        <w:pStyle w:val="Heading3"/>
      </w:pPr>
      <w:r>
        <w:t>Suggested External Authority Links</w:t>
      </w:r>
    </w:p>
    <w:p>
      <w:pPr>
        <w:pStyle w:val="ListBullet"/>
      </w:pPr>
      <w:r>
        <w:rPr>
          <w:b/>
        </w:rPr>
        <w:t xml:space="preserve">Turkish Journal of Pathology — </w:t>
      </w:r>
      <w:r>
        <w:t>https://www.turkjpath.org</w:t>
      </w:r>
    </w:p>
    <w:p>
      <w:pPr>
        <w:pStyle w:val="ListBullet"/>
      </w:pPr>
      <w:r>
        <w:rPr>
          <w:b/>
        </w:rPr>
        <w:t xml:space="preserve">Pathology Associations Federation (PDF) — </w:t>
      </w:r>
      <w:r>
        <w:t>https://turkpath.org.tr</w:t>
      </w:r>
    </w:p>
    <w:p>
      <w:pPr>
        <w:pStyle w:val="ListBullet"/>
      </w:pPr>
      <w:r>
        <w:rPr>
          <w:b/>
        </w:rPr>
        <w:t xml:space="preserve">Ministry of Health Turkey — </w:t>
      </w:r>
      <w:r>
        <w:t>https://www.saglik.gov.tr</w:t>
      </w:r>
    </w:p>
    <w:p>
      <w:pPr>
        <w:pStyle w:val="ListBullet"/>
      </w:pPr>
      <w:r>
        <w:rPr>
          <w:b/>
        </w:rPr>
        <w:t xml:space="preserve">Turkish Medical Association (TTB) — </w:t>
      </w:r>
      <w:r>
        <w:t>https://www.ttb.org.tr</w:t>
      </w:r>
    </w:p>
    <w:p>
      <w:pPr>
        <w:pStyle w:val="ListBullet"/>
      </w:pPr>
      <w:r>
        <w:rPr>
          <w:b/>
        </w:rPr>
        <w:t xml:space="preserve">TUKMOS Core Education Curriculum – Medical Pathology — </w:t>
      </w:r>
      <w:r>
        <w:t>https://turkpath.org.tr/files/CEP_Nisan.pdf</w:t>
      </w:r>
    </w:p>
    <w:p>
      <w:pPr>
        <w:pStyle w:val="ListBullet"/>
      </w:pPr>
      <w:r>
        <w:rPr>
          <w:b/>
        </w:rPr>
        <w:t xml:space="preserve">Hacettepe University Faculty of Medicine — </w:t>
      </w:r>
      <w:r>
        <w:t>https://www.tip.hacettepe.edu.tr</w:t>
      </w:r>
    </w:p>
    <w:p/>
    <w:p>
      <w:pPr>
        <w:pStyle w:val="Heading3"/>
      </w:pPr>
      <w:r>
        <w:t>Image Alt Text Suggestions</w:t>
      </w:r>
    </w:p>
    <w:p>
      <w:pPr>
        <w:pStyle w:val="ListBullet"/>
      </w:pPr>
      <w:r>
        <w:t>"Pathology resident performing intraoperative frozen section consultation at a Turkish teaching hospital"</w:t>
      </w:r>
    </w:p>
    <w:p>
      <w:pPr>
        <w:pStyle w:val="ListBullet"/>
      </w:pPr>
      <w:r>
        <w:t>"Diagram of the nine core competency domains in Turkish pathology residency training"</w:t>
      </w:r>
    </w:p>
    <w:p>
      <w:pPr>
        <w:pStyle w:val="ListBullet"/>
      </w:pPr>
      <w:r>
        <w:t>"Timeline of the TUS examination and 4-year pathology residency pathway in Turkey"</w:t>
      </w:r>
    </w:p>
    <w:p>
      <w:pPr>
        <w:pStyle w:val="ListBullet"/>
      </w:pPr>
      <w:r>
        <w:t>"Chart comparing public and private hospital pathology specialist salaries in Turkey"</w:t>
      </w:r>
    </w:p>
    <w:p/>
    <w:p>
      <w:pPr>
        <w:pStyle w:val="Heading3"/>
      </w:pPr>
      <w:r>
        <w:t>Web Conversion CTAs</w:t>
      </w:r>
    </w:p>
    <w:p>
      <w:r>
        <w:rPr>
          <w:b/>
        </w:rPr>
        <w:t xml:space="preserve">CTA 1 (Exam prep): </w:t>
      </w:r>
      <w:r>
        <w:t>Prepare specifically for the TUS examination — Turkey's centralised specialty entrance exam is the single gateway into pathology residency training.</w:t>
      </w:r>
    </w:p>
    <w:p>
      <w:r>
        <w:rPr>
          <w:b/>
        </w:rPr>
        <w:t xml:space="preserve">CTA 2 (Programme research): </w:t>
      </w:r>
      <w:r>
        <w:t>Research individual programmes' competency-based curricula and documented case volumes — training rigor varies meaningfully between institutions.</w:t>
      </w:r>
    </w:p>
    <w:p>
      <w:r>
        <w:rPr>
          <w:b/>
        </w:rPr>
        <w:t xml:space="preserve">CTA 3 (Thesis planning): </w:t>
      </w:r>
      <w:r>
        <w:t>Start thinking about your thesis topic early — Turkish pathology residency requires a designated advisor by year two and a finalized topic by year two's end.</w:t>
      </w:r>
    </w:p>
    <w:p>
      <w:r>
        <w:rPr>
          <w:b/>
        </w:rPr>
        <w:t xml:space="preserve">CTA 4 (Compensation): </w:t>
      </w:r>
      <w:r>
        <w:t>Discuss current compensation terms directly with prospective employers — Turkey's currency environment means published salary figures date quickly.</w:t>
      </w:r>
    </w:p>
    <w:p/>
    <w:p>
      <w:pPr>
        <w:pStyle w:val="Heading3"/>
      </w:pPr>
      <w:r>
        <w:t>Publication &amp; Distribution Notes</w:t>
      </w:r>
    </w:p>
    <w:p>
      <w:r>
        <w:rPr>
          <w:b/>
        </w:rPr>
        <w:t xml:space="preserve">Platform Recommendations: </w:t>
      </w:r>
      <w:r>
        <w:t>Blog/website primary (SEO), LinkedIn article mirror, Medium republication, Middle East/Central Asia-region and Turkish-language medical career portals</w:t>
      </w:r>
    </w:p>
    <w:p>
      <w:r>
        <w:rPr>
          <w:b/>
        </w:rPr>
        <w:t xml:space="preserve">LinkedIn Hashtags: </w:t>
      </w:r>
      <w:r>
        <w:t>#PathologyCareers #Turkey #TUS #MedicalCareers #Pathologist #Patoloji #TurkishHealthcare #Residency #ACGME #UEMS</w:t>
      </w:r>
    </w:p>
    <w:p>
      <w:r>
        <w:rPr>
          <w:b/>
        </w:rPr>
        <w:t xml:space="preserve">Optimal Publishing Time: </w:t>
      </w:r>
      <w:r>
        <w:t>Tuesday–Thursday, 8 AM–12 PM TRT</w:t>
      </w:r>
    </w:p>
    <w:p>
      <w:r>
        <w:rPr>
          <w:b/>
        </w:rPr>
        <w:t xml:space="preserve">Content Refresh Cycle: </w:t>
      </w:r>
      <w:r>
        <w:t>Update salary figures frequently given Turkey's currency volatility; update training content alongside TUKMOS curriculum revisions</w:t>
      </w:r>
    </w:p>
    <w:p>
      <w:r>
        <w:rPr>
          <w:b/>
        </w:rPr>
        <w:t xml:space="preserve">Localisation Note: </w:t>
      </w:r>
      <w:r>
        <w:t>Strong candidate for a Turkish-language companion piece — 'patoloji uzmanlık eğitimi' and 'patoloji uzmanı maaş' carry substantial domestic search volume</w:t>
      </w:r>
    </w:p>
    <w:p>
      <w:r>
        <w:rPr>
          <w:b/>
        </w:rPr>
        <w:t xml:space="preserve">A/B Test Headlines: </w:t>
      </w:r>
      <w:r>
        <w:t>'Pathology in Turkey: Your Complete Career Guide' vs. 'Turkey Built Its Pathology Training on Both American and European Standards — Here's How It Works'</w:t>
      </w:r>
    </w:p>
    <w:p/>
    <w:p>
      <w:r>
        <w:rPr>
          <w:i/>
        </w:rPr>
        <w:t xml:space="preserve">Document Generated: </w:t>
      </w:r>
      <w:r>
        <w:t>July 31, 2026</w:t>
      </w:r>
    </w:p>
    <w:p>
      <w:r>
        <w:rPr>
          <w:i/>
        </w:rPr>
        <w:t xml:space="preserve">SEO Status: </w:t>
      </w:r>
      <w:r>
        <w:t>Ready for publication — verify current TUS format, TUKMOS curriculum requirements and salary figures (given currency volatility)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