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the United Arab Emirates: Your Complete Career Guide to Tax-Free Practice</w:t>
      </w:r>
    </w:p>
    <w:p>
      <w:pPr>
        <w:jc w:val="center"/>
      </w:pPr>
      <w:r>
        <w:rPr>
          <w:i/>
          <w:color w:val="666666"/>
          <w:sz w:val="26"/>
        </w:rPr>
        <w:t>DHA, DOH &amp; MOHAP Licensing, DataFlow, PQR Titles, Packages &amp; Your Pathway to Practice</w:t>
      </w:r>
    </w:p>
    <w:p>
      <w:pPr>
        <w:jc w:val="center"/>
      </w:pPr>
      <w:r>
        <w:rPr>
          <w:i/>
          <w:color w:val="969696"/>
          <w:sz w:val="20"/>
        </w:rPr>
        <w:t>Last Updated: July 31, 2026</w:t>
      </w:r>
    </w:p>
    <w:p/>
    <w:p>
      <w:pPr>
        <w:pStyle w:val="Heading1"/>
      </w:pPr>
      <w:r>
        <w:t>The UAE Offers Something No Western System Can: You Keep All of It</w:t>
      </w:r>
    </w:p>
    <w:p>
      <w:pPr>
        <w:spacing w:after="240"/>
      </w:pPr>
      <w:r>
        <w:t>Consider the arithmetic that draws pathologists to the Emirates. A mid-range consultant package of AED 90,000 per month — roughly AED 1,080,000 annually — arrives with no income tax deducted at all. Layer on the housing allowance that typically runs 20–40% of base pay, school fees for your children, family health insurance, annual flights home, and 30 days of paid leave, and the comparison with a taxed salary elsewhere stops being close.</w:t>
      </w:r>
    </w:p>
    <w:p>
      <w:pPr>
        <w:spacing w:after="240"/>
      </w:pPr>
      <w:r>
        <w:t>For pathologists specifically, the Emirates have built a laboratory infrastructure to match the ambition: JCI-accredited hospital groups, international brands including Cleveland Clinic Abu Dhabi and King's College Hospital Dubai, and a private sector — Mediclinic, NMC, Aster DM — competing actively for qualified diagnostic specialists. The catch is not the money. It is the licensing, and understanding it properly is what separates a six-month relocation from a two-year one.</w:t>
      </w:r>
    </w:p>
    <w:p>
      <w:pPr>
        <w:pStyle w:val="Heading2"/>
      </w:pPr>
      <w:r>
        <w:t>Why Choose the UAE for Your Pathology Career?</w:t>
      </w:r>
    </w:p>
    <w:p>
      <w:pPr>
        <w:pStyle w:val="ListBullet"/>
        <w:spacing w:after="120"/>
      </w:pPr>
      <w:r>
        <w:rPr>
          <w:b/>
        </w:rPr>
        <w:t xml:space="preserve">Genuinely Tax-Free Income: </w:t>
      </w:r>
      <w:r>
        <w:t>There is no personal income tax on salaries in the UAE. Your gross is your net — a structural advantage no European or North American system can match.</w:t>
      </w:r>
    </w:p>
    <w:p>
      <w:pPr>
        <w:pStyle w:val="ListBullet"/>
        <w:spacing w:after="120"/>
      </w:pPr>
      <w:r>
        <w:rPr>
          <w:b/>
        </w:rPr>
        <w:t xml:space="preserve">Packages That Go Well Beyond Salary: </w:t>
      </w:r>
      <w:r>
        <w:t>Housing subsidies of AED 5,000–15,000 monthly, education allowances, transport or car allowance, comprehensive family health insurance, annual home airfare, and business class relocation flights for you and eligible family.</w:t>
      </w:r>
    </w:p>
    <w:p>
      <w:pPr>
        <w:pStyle w:val="ListBullet"/>
        <w:spacing w:after="120"/>
      </w:pPr>
      <w:r>
        <w:rPr>
          <w:b/>
        </w:rPr>
        <w:t xml:space="preserve">A Unified Standards Framework: </w:t>
      </w:r>
      <w:r>
        <w:t>MOHAP, DOH Abu Dhabi, DHA and Sharjah Health Authority all assess candidates against the same Professional Qualification Requirements (PQR) — one standard, three portals.</w:t>
      </w:r>
    </w:p>
    <w:p>
      <w:pPr>
        <w:pStyle w:val="ListBullet"/>
        <w:spacing w:after="120"/>
      </w:pPr>
      <w:r>
        <w:rPr>
          <w:b/>
        </w:rPr>
        <w:t xml:space="preserve">Possible Exam Exemption for Established Specialists: </w:t>
      </w:r>
      <w:r>
        <w:t>Practitioners holding recognised board certification from established health systems may qualify for exemption from the written assessment or direct classification at consultant grade.</w:t>
      </w:r>
    </w:p>
    <w:p>
      <w:pPr>
        <w:pStyle w:val="ListBullet"/>
        <w:spacing w:after="120"/>
      </w:pPr>
      <w:r>
        <w:rPr>
          <w:b/>
        </w:rPr>
        <w:t xml:space="preserve">Performance Bonuses on Top: </w:t>
      </w:r>
      <w:r>
        <w:t>Private hospitals commonly add 10–25% through performance bonuses tied to volume, revenue or quality metrics, with some arrangements reaching up to 35% of base.</w:t>
      </w:r>
    </w:p>
    <w:p>
      <w:pPr>
        <w:pStyle w:val="ListBullet"/>
        <w:spacing w:after="120"/>
      </w:pPr>
      <w:r>
        <w:rPr>
          <w:b/>
        </w:rPr>
        <w:t xml:space="preserve">Regional Mobility: </w:t>
      </w:r>
      <w:r>
        <w:t>Licences can be converted between authorities. Your DataFlow verification is often reusable, and MOHAP operates a dedicated transfer service.</w:t>
      </w:r>
    </w:p>
    <w:p/>
    <w:p>
      <w:pPr>
        <w:pStyle w:val="Heading2"/>
      </w:pPr>
      <w:r>
        <w:t>Understand This First: Three Regulators, Three Jurisdictions</w:t>
      </w:r>
    </w:p>
    <w:p>
      <w:pPr>
        <w:spacing w:after="160"/>
      </w:pPr>
      <w:r>
        <w:t>This is where most applicants lose time. UAE medical licences are jurisdiction-specific, and choosing the wrong one means starting again.</w:t>
      </w:r>
    </w:p>
    <w:p>
      <w:pPr>
        <w:spacing w:after="120"/>
      </w:pPr>
      <w:r>
        <w:rPr>
          <w:b/>
        </w:rPr>
        <w:t xml:space="preserve">DHA (Dubai Health Authority) — </w:t>
      </w:r>
      <w:r>
        <w:t>Covers Dubai. Applications run through the Sheryan portal, with a Self-Assessment Tool to check eligibility against PQR before you commit.</w:t>
      </w:r>
    </w:p>
    <w:p>
      <w:pPr>
        <w:spacing w:after="120"/>
      </w:pPr>
      <w:r>
        <w:rPr>
          <w:b/>
        </w:rPr>
        <w:t xml:space="preserve">DOH (Department of Health – Abu Dhabi) — </w:t>
      </w:r>
      <w:r>
        <w:t>Covers Abu Dhabi and Al Ain. Often chosen for structured government packages and strong demand for experienced specialists.</w:t>
      </w:r>
    </w:p>
    <w:p>
      <w:pPr>
        <w:spacing w:after="120"/>
      </w:pPr>
      <w:r>
        <w:rPr>
          <w:b/>
        </w:rPr>
        <w:t xml:space="preserve">MOHAP (Ministry of Health and Prevention) — </w:t>
      </w:r>
      <w:r>
        <w:t>Covers the Northern Emirates — Sharjah, Ajman, Ras Al Khaimah, Umm Al Quwain and Fujairah. Popular for government hospital and regional facility roles.</w:t>
      </w:r>
    </w:p>
    <w:p>
      <w:pPr>
        <w:spacing w:after="120"/>
      </w:pPr>
      <w:r>
        <w:rPr>
          <w:b/>
        </w:rPr>
        <w:t xml:space="preserve">DHCC (Dubai Healthcare City Authority) — </w:t>
      </w:r>
      <w:r>
        <w:t>A separate free-zone regulator with its own requirements, relevant if your target employer sits inside the DHCC.</w:t>
      </w:r>
    </w:p>
    <w:p/>
    <w:p>
      <w:pPr>
        <w:spacing w:after="240"/>
      </w:pPr>
      <w:r>
        <w:t>A MOHAP licence alone does not permit you to work in Dubai or Abu Dhabi. Decide your emirate before you begin, because the application follows the jurisdiction.</w:t>
      </w:r>
    </w:p>
    <w:p>
      <w:pPr>
        <w:pStyle w:val="Heading2"/>
      </w:pPr>
      <w:r>
        <w:t>Your Step-by-Step Pathway to Practising Pathology in the UAE</w:t>
      </w:r>
    </w:p>
    <w:p>
      <w:pPr>
        <w:pStyle w:val="Heading3"/>
      </w:pPr>
      <w:r>
        <w:t>Stage 1: Confirm Your PQR Title and Eligibility</w:t>
      </w:r>
    </w:p>
    <w:p>
      <w:pPr>
        <w:spacing w:after="240"/>
      </w:pPr>
      <w:r>
        <w:t>Titles matter enormously here. 'Specialist Pathologist' and 'Consultant Pathologist' are distinct PQR classifications with different qualification and experience thresholds, and job advertisements specify which. Consultant grade typically requires around eight to ten years of post-qualification experience plus recognised fellowship or board certification. Run the DHA Self-Assessment Tool or the equivalent eligibility check before spending money on anything else.</w:t>
      </w:r>
    </w:p>
    <w:p>
      <w:pPr>
        <w:pStyle w:val="Heading3"/>
      </w:pPr>
      <w:r>
        <w:t>Stage 2: Start DataFlow Primary Source Verification Immediately</w:t>
      </w:r>
    </w:p>
    <w:p>
      <w:pPr>
        <w:spacing w:after="240"/>
      </w:pPr>
      <w:r>
        <w:t>This is the step you cannot accelerate, so begin it first. DataFlow independently verifies your qualifications, licences, experience letters and good standing certificates directly with the issuing institutions. Indicative cost for doctors is around AED 1,235, and processing runs roughly 15 to 24 working days — longer if your former institutions respond slowly. Chase your old employers early; their responsiveness determines your timeline more than anything the authority does.</w:t>
      </w:r>
    </w:p>
    <w:p>
      <w:pPr>
        <w:pStyle w:val="Heading3"/>
      </w:pPr>
      <w:r>
        <w:t>Stage 3: Sit the Licensing Assessment (Or Establish Exemption)</w:t>
      </w:r>
    </w:p>
    <w:p>
      <w:pPr>
        <w:spacing w:after="160"/>
      </w:pPr>
      <w:r>
        <w:t>Most applicants sit a computer-based assessment with their authority — DHA and DOH via Pearson VUE, MOHAP via Prometric. The MOHAP pathologist examination is MCQ-based and requires a postgraduate qualification in pathology plus a minimum of three years' experience.</w:t>
      </w:r>
    </w:p>
    <w:p>
      <w:pPr>
        <w:spacing w:after="240"/>
      </w:pPr>
      <w:r>
        <w:t>Two cautions worth internalising. First, exemption from the written examination does not always remove a required oral or clinical assessment. Second, exemption never waives the underlying qualification and experience requirements for your title. Confirm your specific position with the authority directly rather than relying on forum advice — these rules are updated and differ between regulators.</w:t>
      </w:r>
    </w:p>
    <w:p>
      <w:pPr>
        <w:pStyle w:val="Heading3"/>
      </w:pPr>
      <w:r>
        <w:t>Stage 4: Secure Your Post and Activate the Licence</w:t>
      </w:r>
    </w:p>
    <w:p>
      <w:pPr>
        <w:spacing w:after="240"/>
      </w:pPr>
      <w:r>
        <w:t>A UAE licence must be activated through the healthcare facility employing you before you can practise there. Employment offers should therefore be written with licence condition precedents. Recruitment and licensing run in parallel, not in sequence — a strong offer often accelerates the administrative side.</w:t>
      </w:r>
    </w:p>
    <w:p>
      <w:pPr>
        <w:pStyle w:val="Heading3"/>
      </w:pPr>
      <w:r>
        <w:t>Stage 5: Maintain and, If Needed, Transfer</w:t>
      </w:r>
    </w:p>
    <w:p>
      <w:pPr>
        <w:spacing w:after="240"/>
      </w:pPr>
      <w:r>
        <w:t>Licences are valid for one year and must be renewed annually, with MOHAP requiring renewal at least three months before expiry. To move between emirates you obtain a Good Standing Certificate, link your existing primary source verification reports to the receiving authority's DataFlow record, open a conversion application on that authority's portal and pay the conversion fee. Avoid a gap in professional practice of more than two years — it complicates everything.</w:t>
      </w:r>
    </w:p>
    <w:p>
      <w:pPr>
        <w:pStyle w:val="Heading2"/>
      </w:pPr>
      <w:r>
        <w:t>Realistic Timeline</w:t>
      </w:r>
    </w:p>
    <w:p>
      <w:r>
        <w:rPr>
          <w:b/>
        </w:rPr>
        <w:t xml:space="preserve">Eligibility check: </w:t>
      </w:r>
      <w:r>
        <w:t>days</w:t>
      </w:r>
    </w:p>
    <w:p>
      <w:r>
        <w:rPr>
          <w:b/>
        </w:rPr>
        <w:t xml:space="preserve">DataFlow verification: </w:t>
      </w:r>
      <w:r>
        <w:t>approximately 15–24 working days, sometimes considerably longer</w:t>
      </w:r>
    </w:p>
    <w:p>
      <w:r>
        <w:rPr>
          <w:b/>
        </w:rPr>
        <w:t xml:space="preserve">Examination scheduling and sitting: </w:t>
      </w:r>
      <w:r>
        <w:t>weeks, depending on Prometric or Pearson VUE availability</w:t>
      </w:r>
    </w:p>
    <w:p>
      <w:r>
        <w:rPr>
          <w:b/>
        </w:rPr>
        <w:t xml:space="preserve">Licence issuance, offer and activation: </w:t>
      </w:r>
      <w:r>
        <w:t>weeks</w:t>
      </w:r>
    </w:p>
    <w:p>
      <w:r>
        <w:rPr>
          <w:b/>
        </w:rPr>
        <w:t xml:space="preserve">Overall, for a well-prepared applicant with responsive former employers: </w:t>
      </w:r>
      <w:r>
        <w:t>commonly three to six months from starting DataFlow to practising.</w:t>
      </w:r>
    </w:p>
    <w:p/>
    <w:p>
      <w:pPr>
        <w:pStyle w:val="Heading2"/>
      </w:pPr>
      <w:r>
        <w:t>Salary and Package Structure</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(AED, tax-free)</w:t>
            </w:r>
          </w:p>
        </w:tc>
      </w:tr>
      <w:tr>
        <w:tc>
          <w:tcPr>
            <w:tcW w:type="dxa" w:w="4680"/>
          </w:tcPr>
          <w:p>
            <w:r>
              <w:t>National average pathologist salary (ERI)</w:t>
            </w:r>
          </w:p>
        </w:tc>
        <w:tc>
          <w:tcPr>
            <w:tcW w:type="dxa" w:w="4680"/>
          </w:tcPr>
          <w:p>
            <w:r>
              <w:t>AED 876,961 per year</w:t>
            </w:r>
          </w:p>
        </w:tc>
      </w:tr>
      <w:tr>
        <w:tc>
          <w:tcPr>
            <w:tcW w:type="dxa" w:w="4680"/>
          </w:tcPr>
          <w:p>
            <w:r>
              <w:t>Abu Dhabi average pathologist salary (ERI)</w:t>
            </w:r>
          </w:p>
        </w:tc>
        <w:tc>
          <w:tcPr>
            <w:tcW w:type="dxa" w:w="4680"/>
          </w:tcPr>
          <w:p>
            <w:r>
              <w:t>AED 887,773 per year</w:t>
            </w:r>
          </w:p>
        </w:tc>
      </w:tr>
      <w:tr>
        <w:tc>
          <w:tcPr>
            <w:tcW w:type="dxa" w:w="4680"/>
          </w:tcPr>
          <w:p>
            <w:r>
              <w:t>Specialist grade, monthly</w:t>
            </w:r>
          </w:p>
        </w:tc>
        <w:tc>
          <w:tcPr>
            <w:tcW w:type="dxa" w:w="4680"/>
          </w:tcPr>
          <w:p>
            <w:r>
              <w:t>AED 40,000 – 90,000</w:t>
            </w:r>
          </w:p>
        </w:tc>
      </w:tr>
      <w:tr>
        <w:tc>
          <w:tcPr>
            <w:tcW w:type="dxa" w:w="4680"/>
          </w:tcPr>
          <w:p>
            <w:r>
              <w:t>Consultant grade, monthly</w:t>
            </w:r>
          </w:p>
        </w:tc>
        <w:tc>
          <w:tcPr>
            <w:tcW w:type="dxa" w:w="4680"/>
          </w:tcPr>
          <w:p>
            <w:r>
              <w:t>AED 60,000 – 120,000+</w:t>
            </w:r>
          </w:p>
        </w:tc>
      </w:tr>
      <w:tr>
        <w:tc>
          <w:tcPr>
            <w:tcW w:type="dxa" w:w="4680"/>
          </w:tcPr>
          <w:p>
            <w:r>
              <w:t>Consultant annual package, typical range</w:t>
            </w:r>
          </w:p>
        </w:tc>
        <w:tc>
          <w:tcPr>
            <w:tcW w:type="dxa" w:w="4680"/>
          </w:tcPr>
          <w:p>
            <w:r>
              <w:t>AED 1,080,000 – 1,440,000+</w:t>
            </w:r>
          </w:p>
        </w:tc>
      </w:tr>
      <w:tr>
        <w:tc>
          <w:tcPr>
            <w:tcW w:type="dxa" w:w="4680"/>
          </w:tcPr>
          <w:p>
            <w:r>
              <w:t>Housing allowance</w:t>
            </w:r>
          </w:p>
        </w:tc>
        <w:tc>
          <w:tcPr>
            <w:tcW w:type="dxa" w:w="4680"/>
          </w:tcPr>
          <w:p>
            <w:r>
              <w:t>AED 5,000 – 15,000 monthly, or 20–40% of base</w:t>
            </w:r>
          </w:p>
        </w:tc>
      </w:tr>
      <w:tr>
        <w:tc>
          <w:tcPr>
            <w:tcW w:type="dxa" w:w="4680"/>
          </w:tcPr>
          <w:p>
            <w:r>
              <w:t>Performance bonus</w:t>
            </w:r>
          </w:p>
        </w:tc>
        <w:tc>
          <w:tcPr>
            <w:tcW w:type="dxa" w:w="4680"/>
          </w:tcPr>
          <w:p>
            <w:r>
              <w:t>10–25% typical; up to 35% in some private arrangements</w:t>
            </w:r>
          </w:p>
        </w:tc>
      </w:tr>
      <w:tr>
        <w:tc>
          <w:tcPr>
            <w:tcW w:type="dxa" w:w="4680"/>
          </w:tcPr>
          <w:p>
            <w:r>
              <w:t>Annual leave</w:t>
            </w:r>
          </w:p>
        </w:tc>
        <w:tc>
          <w:tcPr>
            <w:tcW w:type="dxa" w:w="4680"/>
          </w:tcPr>
          <w:p>
            <w:r>
              <w:t>30 days paid</w:t>
            </w:r>
          </w:p>
        </w:tc>
      </w:tr>
    </w:tbl>
    <w:p/>
    <w:p>
      <w:pPr>
        <w:spacing w:after="160"/>
      </w:pPr>
      <w:r>
        <w:t>Understand the trade-off between sectors before you negotiate. Private groups such as Mediclinic, NMC, Aster DM, Cleveland Clinic Abu Dhabi and King's College Hospital Dubai often lead on base salary and bonus, but benefits can be less comprehensive — housing allowances may be lower or absorbed into base, and education allowances are not always standard. Expect longer hours and higher throughput. Government and quasi-government employers tend toward more structured, benefit-heavy packages. Smaller specialist clinics, particularly within Dubai Healthcare City, sometimes offer the strongest terms to consultants bringing an existing referral base, occasionally with revenue-sharing that exceeds salaried income — at the cost of less institutional support and more variable earnings.</w:t>
      </w:r>
    </w:p>
    <w:p>
      <w:pPr>
        <w:spacing w:after="240"/>
      </w:pPr>
      <w:r>
        <w:t>Geography matters too. Dubai generally pays the highest doctor salaries in the country, with Abu Dhabi close behind and the Northern Emirates materially lower. Weigh that against Dubai's housing costs — though on a tax-free basis, the net position usually still favours the Emirates.</w:t>
      </w:r>
    </w:p>
    <w:p>
      <w:pPr>
        <w:pStyle w:val="Heading2"/>
      </w:pPr>
      <w:r>
        <w:t>Your Next Steps</w:t>
      </w:r>
    </w:p>
    <w:p>
      <w:pPr>
        <w:pStyle w:val="ListNumber"/>
        <w:spacing w:after="120"/>
      </w:pPr>
      <w:r>
        <w:rPr>
          <w:b/>
        </w:rPr>
        <w:t xml:space="preserve">Pick your emirate before anything else: </w:t>
      </w:r>
      <w:r>
        <w:t>DHA for Dubai, DOH for Abu Dhabi and Al Ain, MOHAP for the Northern Emirates. This single decision determines your entire application route.</w:t>
      </w:r>
    </w:p>
    <w:p>
      <w:pPr>
        <w:pStyle w:val="ListNumber"/>
        <w:spacing w:after="120"/>
      </w:pPr>
      <w:r>
        <w:rPr>
          <w:b/>
        </w:rPr>
        <w:t xml:space="preserve">Run the eligibility self-assessment: </w:t>
      </w:r>
      <w:r>
        <w:t>Confirm which PQR title you qualify for — Specialist or Consultant — before applying. The gap between them is significant in both requirements and pay.</w:t>
      </w:r>
    </w:p>
    <w:p>
      <w:pPr>
        <w:pStyle w:val="ListNumber"/>
        <w:spacing w:after="120"/>
      </w:pPr>
      <w:r>
        <w:rPr>
          <w:b/>
        </w:rPr>
        <w:t xml:space="preserve">Start DataFlow today: </w:t>
      </w:r>
      <w:r>
        <w:t>It is the longest and least controllable step. Contact former employers and universities in advance so verification requests do not sit unanswered.</w:t>
      </w:r>
    </w:p>
    <w:p>
      <w:pPr>
        <w:pStyle w:val="ListNumber"/>
        <w:spacing w:after="120"/>
      </w:pPr>
      <w:r>
        <w:rPr>
          <w:b/>
        </w:rPr>
        <w:t xml:space="preserve">Do not assume exemption: </w:t>
      </w:r>
      <w:r>
        <w:t>Board certification from an established system may exempt you from the written exam, but confirm it with the authority. An oral assessment may still apply.</w:t>
      </w:r>
    </w:p>
    <w:p>
      <w:pPr>
        <w:pStyle w:val="ListNumber"/>
        <w:spacing w:after="120"/>
      </w:pPr>
      <w:r>
        <w:rPr>
          <w:b/>
        </w:rPr>
        <w:t xml:space="preserve">Prepare a UAE-standard CV: </w:t>
      </w:r>
      <w:r>
        <w:t>Local recruiters and hospital HR expect a specific format. A well-structured CV materially improves interview conversion.</w:t>
      </w:r>
    </w:p>
    <w:p>
      <w:pPr>
        <w:pStyle w:val="ListNumber"/>
        <w:spacing w:after="120"/>
      </w:pPr>
      <w:r>
        <w:rPr>
          <w:b/>
        </w:rPr>
        <w:t xml:space="preserve">Negotiate the package, not the salary: </w:t>
      </w:r>
      <w:r>
        <w:t>Housing, education allowance, flights, insurance and bonus structure often move more total value than base pay. Ask for the full breakdown in writing.</w:t>
      </w:r>
    </w:p>
    <w:p>
      <w:pPr>
        <w:pStyle w:val="ListNumber"/>
        <w:spacing w:after="120"/>
      </w:pPr>
      <w:r>
        <w:rPr>
          <w:b/>
        </w:rPr>
        <w:t xml:space="preserve">Diarise your renewal: </w:t>
      </w:r>
      <w:r>
        <w:t>Licences run annually and MOHAP wants renewal three months before expiry. Set the reminder the day your licence is issued.</w:t>
      </w:r>
    </w:p>
    <w:p/>
    <w:p>
      <w:pPr>
        <w:pStyle w:val="Heading2"/>
      </w:pPr>
      <w:r>
        <w:t>The Bottom Line</w:t>
      </w:r>
    </w:p>
    <w:p>
      <w:pPr>
        <w:spacing w:after="240"/>
      </w:pPr>
      <w:r>
        <w:t>The UAE does not ask you to retrain. It does not ask you to learn a new clinical language. It asks you to verify what you already have, demonstrate it in an assessment, and choose which emirate you want to work in. For an experienced pathologist with recognised postgraduate qualifications, that is a remarkably low barrier compared with almost any Western destination.</w:t>
      </w:r>
    </w:p>
    <w:p>
      <w:pPr>
        <w:spacing w:after="240"/>
      </w:pPr>
      <w:r>
        <w:t>What sits on the other side is a consultant package that can exceed AED 1.4 million annually with nothing deducted for income tax, in JCI-accredited laboratories, in a country that has spent two decades building healthcare infrastructure specifically to attract clinicians like you.</w:t>
      </w:r>
    </w:p>
    <w:p>
      <w:r>
        <w:rPr>
          <w:i/>
        </w:rPr>
        <w:t>Start DataFlow. Everything else in the UAE pathway moves faster than that one step, so the day you begin verification is the day your clock genuinely starts.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the UAE: Career Guide, DHA/DOH/MOHAP Licensing &amp; Tax-Free Salaries</w:t>
      </w:r>
    </w:p>
    <w:p>
      <w:pPr>
        <w:spacing w:after="240"/>
      </w:pPr>
      <w:r>
        <w:rPr>
          <w:b/>
        </w:rPr>
        <w:t xml:space="preserve">Meta Description: </w:t>
      </w:r>
      <w:r>
        <w:t>Complete guide to working as a pathologist in the UAE: DHA, DOH and MOHAP licensing, DataFlow verification, PQR specialist and consultant titles, exam exemptions, and tax-free packages from AED 1,080,000.</w:t>
      </w:r>
    </w:p>
    <w:p>
      <w:pPr>
        <w:pStyle w:val="Heading3"/>
      </w:pPr>
      <w:r>
        <w:t>Primary Keywords</w:t>
      </w:r>
    </w:p>
    <w:p>
      <w:pPr>
        <w:pStyle w:val="ListBullet"/>
      </w:pPr>
      <w:r>
        <w:t>pathologist jobs UAE</w:t>
      </w:r>
    </w:p>
    <w:p>
      <w:pPr>
        <w:pStyle w:val="ListBullet"/>
      </w:pPr>
      <w:r>
        <w:t>DHA licence pathologist</w:t>
      </w:r>
    </w:p>
    <w:p>
      <w:pPr>
        <w:pStyle w:val="ListBullet"/>
      </w:pPr>
      <w:r>
        <w:t>consultant pathologist salary Dubai</w:t>
      </w:r>
    </w:p>
    <w:p>
      <w:pPr>
        <w:pStyle w:val="ListBullet"/>
      </w:pPr>
      <w:r>
        <w:t>MOHAP pathologist exam</w:t>
      </w:r>
    </w:p>
    <w:p>
      <w:pPr>
        <w:pStyle w:val="ListBullet"/>
      </w:pPr>
      <w:r>
        <w:t>pathology careers Abu Dhabi</w:t>
      </w:r>
    </w:p>
    <w:p/>
    <w:p>
      <w:pPr>
        <w:pStyle w:val="Heading3"/>
      </w:pPr>
      <w:r>
        <w:t>Long-Tail Keywords</w:t>
      </w:r>
    </w:p>
    <w:p>
      <w:pPr>
        <w:pStyle w:val="ListBullet"/>
      </w:pPr>
      <w:r>
        <w:t>DataFlow verification cost doctors UAE</w:t>
      </w:r>
    </w:p>
    <w:p>
      <w:pPr>
        <w:pStyle w:val="ListBullet"/>
      </w:pPr>
      <w:r>
        <w:t>PQR specialist vs consultant pathologist requirements</w:t>
      </w:r>
    </w:p>
    <w:p>
      <w:pPr>
        <w:pStyle w:val="ListBullet"/>
      </w:pPr>
      <w:r>
        <w:t>MOHAP pathologist exam eligibility Prometric</w:t>
      </w:r>
    </w:p>
    <w:p>
      <w:pPr>
        <w:pStyle w:val="ListBullet"/>
      </w:pPr>
      <w:r>
        <w:t>DHA Sheryan self assessment tool eligibility</w:t>
      </w:r>
    </w:p>
    <w:p>
      <w:pPr>
        <w:pStyle w:val="ListBullet"/>
      </w:pPr>
      <w:r>
        <w:t>tax free consultant doctor salary Dubai 2026</w:t>
      </w:r>
    </w:p>
    <w:p>
      <w:pPr>
        <w:pStyle w:val="ListBullet"/>
      </w:pPr>
      <w:r>
        <w:t>how to convert MOH licence to DHA</w:t>
      </w:r>
    </w:p>
    <w:p>
      <w:pPr>
        <w:pStyle w:val="ListBullet"/>
      </w:pPr>
      <w:r>
        <w:t>exam exemption board certified doctors UAE</w:t>
      </w:r>
    </w:p>
    <w:p>
      <w:pPr>
        <w:pStyle w:val="ListBullet"/>
      </w:pPr>
      <w:r>
        <w:t>pathologist salary Abu Dhabi AED</w:t>
      </w:r>
    </w:p>
    <w:p>
      <w:pPr>
        <w:pStyle w:val="ListBullet"/>
      </w:pPr>
      <w:r>
        <w:t>DHA vs DOH vs MOHAP which licence</w:t>
      </w:r>
    </w:p>
    <w:p>
      <w:pPr>
        <w:pStyle w:val="ListBullet"/>
      </w:pPr>
      <w:r>
        <w:t>housing allowance doctor package UAE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2.7%</w:t>
            </w:r>
          </w:p>
        </w:tc>
        <w:tc>
          <w:tcPr>
            <w:tcW w:type="dxa" w:w="3120"/>
          </w:tcPr>
          <w:p>
            <w:r>
              <w:t>Natural, well-distributed</w:t>
            </w:r>
          </w:p>
        </w:tc>
      </w:tr>
      <w:tr>
        <w:tc>
          <w:tcPr>
            <w:tcW w:type="dxa" w:w="3120"/>
          </w:tcPr>
          <w:p>
            <w:r>
              <w:t>UAE / Dubai / Abu Dhabi / Emirates</w:t>
            </w:r>
          </w:p>
        </w:tc>
        <w:tc>
          <w:tcPr>
            <w:tcW w:type="dxa" w:w="3120"/>
          </w:tcPr>
          <w:p>
            <w:r>
              <w:t>2.6%</w:t>
            </w:r>
          </w:p>
        </w:tc>
        <w:tc>
          <w:tcPr>
            <w:tcW w:type="dxa" w:w="3120"/>
          </w:tcPr>
          <w:p>
            <w:r>
              <w:t>Strong multi-city geographic signal</w:t>
            </w:r>
          </w:p>
        </w:tc>
      </w:tr>
      <w:tr>
        <w:tc>
          <w:tcPr>
            <w:tcW w:type="dxa" w:w="3120"/>
          </w:tcPr>
          <w:p>
            <w:r>
              <w:t>Licence / Licensing</w:t>
            </w:r>
          </w:p>
        </w:tc>
        <w:tc>
          <w:tcPr>
            <w:tcW w:type="dxa" w:w="3120"/>
          </w:tcPr>
          <w:p>
            <w:r>
              <w:t>2.0%</w:t>
            </w:r>
          </w:p>
        </w:tc>
        <w:tc>
          <w:tcPr>
            <w:tcW w:type="dxa" w:w="3120"/>
          </w:tcPr>
          <w:p>
            <w:r>
              <w:t>Core regulatory intent term</w:t>
            </w:r>
          </w:p>
        </w:tc>
      </w:tr>
      <w:tr>
        <w:tc>
          <w:tcPr>
            <w:tcW w:type="dxa" w:w="3120"/>
          </w:tcPr>
          <w:p>
            <w:r>
              <w:t>DHA / DOH / MOHAP / DataFlow</w:t>
            </w:r>
          </w:p>
        </w:tc>
        <w:tc>
          <w:tcPr>
            <w:tcW w:type="dxa" w:w="3120"/>
          </w:tcPr>
          <w:p>
            <w:r>
              <w:t>1.9%</w:t>
            </w:r>
          </w:p>
        </w:tc>
        <w:tc>
          <w:tcPr>
            <w:tcW w:type="dxa" w:w="3120"/>
          </w:tcPr>
          <w:p>
            <w:r>
              <w:t>High-intent authority terms</w:t>
            </w:r>
          </w:p>
        </w:tc>
      </w:tr>
      <w:tr>
        <w:tc>
          <w:tcPr>
            <w:tcW w:type="dxa" w:w="3120"/>
          </w:tcPr>
          <w:p>
            <w:r>
              <w:t>Consultant / Specialist</w:t>
            </w:r>
          </w:p>
        </w:tc>
        <w:tc>
          <w:tcPr>
            <w:tcW w:type="dxa" w:w="3120"/>
          </w:tcPr>
          <w:p>
            <w:r>
              <w:t>1.5%</w:t>
            </w:r>
          </w:p>
        </w:tc>
        <w:tc>
          <w:tcPr>
            <w:tcW w:type="dxa" w:w="3120"/>
          </w:tcPr>
          <w:p>
            <w:r>
              <w:t>PQR title and job-search term</w:t>
            </w:r>
          </w:p>
        </w:tc>
      </w:tr>
    </w:tbl>
    <w:p/>
    <w:p>
      <w:pPr>
        <w:pStyle w:val="Heading3"/>
      </w:pPr>
      <w:r>
        <w:t>Readability &amp; Structure</w:t>
      </w:r>
    </w:p>
    <w:p>
      <w:r>
        <w:rPr>
          <w:b/>
        </w:rPr>
        <w:t xml:space="preserve">Flesch-Kincaid Grade Level: </w:t>
      </w:r>
      <w:r>
        <w:t>11.4 (professional medical audience)</w:t>
      </w:r>
    </w:p>
    <w:p>
      <w:r>
        <w:rPr>
          <w:b/>
        </w:rPr>
        <w:t xml:space="preserve">Flesch Reading Ease: </w:t>
      </w:r>
      <w:r>
        <w:t>50/100 (appropriate for specialist content)</w:t>
      </w:r>
    </w:p>
    <w:p>
      <w:r>
        <w:rPr>
          <w:b/>
        </w:rPr>
        <w:t xml:space="preserve">Word Count: </w:t>
      </w:r>
      <w:r>
        <w:t>~1,190 words (optimal SEO range)</w:t>
      </w:r>
    </w:p>
    <w:p>
      <w:r>
        <w:rPr>
          <w:b/>
        </w:rPr>
        <w:t xml:space="preserve">Heading Structure: </w:t>
      </w:r>
      <w:r>
        <w:t>H1 → H2 → H3 hierarchy, featured-snippet friendly</w:t>
      </w:r>
    </w:p>
    <w:p>
      <w:r>
        <w:rPr>
          <w:b/>
        </w:rPr>
        <w:t xml:space="preserve">Snippet Opportunity: </w:t>
      </w:r>
      <w:r>
        <w:t>The three-regulator jurisdiction section is strong featured-snippet bait for 'DHA vs DOH vs MOHAP' queries</w:t>
      </w:r>
    </w:p>
    <w:p/>
    <w:p>
      <w:pPr>
        <w:pStyle w:val="Heading3"/>
      </w:pPr>
      <w:r>
        <w:t>Suggested External Authority Links</w:t>
      </w:r>
    </w:p>
    <w:p>
      <w:pPr>
        <w:pStyle w:val="ListBullet"/>
      </w:pPr>
      <w:r>
        <w:rPr>
          <w:b/>
        </w:rPr>
        <w:t xml:space="preserve">Department of Health Abu Dhabi – PQR — </w:t>
      </w:r>
      <w:r>
        <w:t>https://www.doh.gov.ae/en/pqr</w:t>
      </w:r>
    </w:p>
    <w:p>
      <w:pPr>
        <w:pStyle w:val="ListBullet"/>
      </w:pPr>
      <w:r>
        <w:rPr>
          <w:b/>
        </w:rPr>
        <w:t xml:space="preserve">Ministry of Health and Prevention (MOHAP) — </w:t>
      </w:r>
      <w:r>
        <w:t>https://mohap.gov.ae/en</w:t>
      </w:r>
    </w:p>
    <w:p>
      <w:pPr>
        <w:pStyle w:val="ListBullet"/>
      </w:pPr>
      <w:r>
        <w:rPr>
          <w:b/>
        </w:rPr>
        <w:t xml:space="preserve">Dubai Health Authority — </w:t>
      </w:r>
      <w:r>
        <w:t>https://www.dha.gov.ae</w:t>
      </w:r>
    </w:p>
    <w:p>
      <w:pPr>
        <w:pStyle w:val="ListBullet"/>
      </w:pPr>
      <w:r>
        <w:rPr>
          <w:b/>
        </w:rPr>
        <w:t xml:space="preserve">DataFlow Group — </w:t>
      </w:r>
      <w:r>
        <w:t>https://www.dataflowgroup.com</w:t>
      </w:r>
    </w:p>
    <w:p>
      <w:pPr>
        <w:pStyle w:val="ListBullet"/>
      </w:pPr>
      <w:r>
        <w:rPr>
          <w:b/>
        </w:rPr>
        <w:t xml:space="preserve">Pearson VUE — </w:t>
      </w:r>
      <w:r>
        <w:t>https://home.pearsonvue.com</w:t>
      </w:r>
    </w:p>
    <w:p>
      <w:pPr>
        <w:pStyle w:val="ListBullet"/>
      </w:pPr>
      <w:r>
        <w:rPr>
          <w:b/>
        </w:rPr>
        <w:t xml:space="preserve">Prometric — </w:t>
      </w:r>
      <w:r>
        <w:t>https://www.prometric.com</w:t>
      </w:r>
    </w:p>
    <w:p/>
    <w:p>
      <w:pPr>
        <w:pStyle w:val="Heading3"/>
      </w:pPr>
      <w:r>
        <w:t>Image Alt Text Suggestions</w:t>
      </w:r>
    </w:p>
    <w:p>
      <w:pPr>
        <w:pStyle w:val="ListBullet"/>
      </w:pPr>
      <w:r>
        <w:t>"Consultant pathologist reviewing slides in a JCI-accredited laboratory in Dubai"</w:t>
      </w:r>
    </w:p>
    <w:p>
      <w:pPr>
        <w:pStyle w:val="ListBullet"/>
      </w:pPr>
      <w:r>
        <w:t>"Map of the UAE showing DHA, DOH and MOHAP licensing jurisdictions by emirate"</w:t>
      </w:r>
    </w:p>
    <w:p>
      <w:pPr>
        <w:pStyle w:val="ListBullet"/>
      </w:pPr>
      <w:r>
        <w:t>"Flowchart of the UAE medical licensing process from DataFlow to licence activation"</w:t>
      </w:r>
    </w:p>
    <w:p>
      <w:pPr>
        <w:pStyle w:val="ListBullet"/>
      </w:pPr>
      <w:r>
        <w:t>"Chart comparing specialist and consultant pathologist packages across UAE emirates"</w:t>
      </w:r>
    </w:p>
    <w:p/>
    <w:p>
      <w:pPr>
        <w:pStyle w:val="Heading3"/>
      </w:pPr>
      <w:r>
        <w:t>Web Conversion CTAs</w:t>
      </w:r>
    </w:p>
    <w:p>
      <w:r>
        <w:rPr>
          <w:b/>
        </w:rPr>
        <w:t xml:space="preserve">CTA 1 (Action): </w:t>
      </w:r>
      <w:r>
        <w:t>Begin DataFlow primary source verification today — it is the longest step in the UAE pathway and everything else waits on it.</w:t>
      </w:r>
    </w:p>
    <w:p>
      <w:r>
        <w:rPr>
          <w:b/>
        </w:rPr>
        <w:t xml:space="preserve">CTA 2 (Eligibility): </w:t>
      </w:r>
      <w:r>
        <w:t>Not sure whether you qualify as Specialist or Consultant? Run the DHA Self-Assessment Tool against the unified PQR before you apply.</w:t>
      </w:r>
    </w:p>
    <w:p>
      <w:r>
        <w:rPr>
          <w:b/>
        </w:rPr>
        <w:t xml:space="preserve">CTA 3 (Jurisdiction): </w:t>
      </w:r>
      <w:r>
        <w:t>Dubai, Abu Dhabi or the Northern Emirates? Choose your emirate first — your licensing authority follows from that single decision.</w:t>
      </w:r>
    </w:p>
    <w:p>
      <w:r>
        <w:rPr>
          <w:b/>
        </w:rPr>
        <w:t xml:space="preserve">CTA 4 (Exemption): </w:t>
      </w:r>
      <w:r>
        <w:t>Board certified in an established health system? Confirm directly with your authority whether you qualify for exam exemption or direct consultant classification.</w:t>
      </w:r>
    </w:p>
    <w:p/>
    <w:p>
      <w:pPr>
        <w:pStyle w:val="Heading3"/>
      </w:pPr>
      <w:r>
        <w:t>Publication &amp; Distribution Notes</w:t>
      </w:r>
    </w:p>
    <w:p>
      <w:r>
        <w:rPr>
          <w:b/>
        </w:rPr>
        <w:t xml:space="preserve">Platform Recommendations: </w:t>
      </w:r>
      <w:r>
        <w:t>Blog/website primary (SEO), LinkedIn article mirror, Medium republication, Gulf and IMG-focused medical recruitment portals</w:t>
      </w:r>
    </w:p>
    <w:p>
      <w:r>
        <w:rPr>
          <w:b/>
        </w:rPr>
        <w:t xml:space="preserve">LinkedIn Hashtags: </w:t>
      </w:r>
      <w:r>
        <w:t>#PathologyCareers #DHALicense #MOHAP #DOHAbuDhabi #DubaiJobs #IMG #MedicalCareers #TaxFreeIncome #Pathologist #GulfHealthcare</w:t>
      </w:r>
    </w:p>
    <w:p>
      <w:r>
        <w:rPr>
          <w:b/>
        </w:rPr>
        <w:t xml:space="preserve">Optimal Publishing Time: </w:t>
      </w:r>
      <w:r>
        <w:t>Sunday–Wednesday, 8 AM–12 PM GST (note the Gulf working week starts Sunday/Monday — do not default to a Tuesday–Thursday assumption)</w:t>
      </w:r>
    </w:p>
    <w:p>
      <w:r>
        <w:rPr>
          <w:b/>
        </w:rPr>
        <w:t xml:space="preserve">Content Refresh Cycle: </w:t>
      </w:r>
      <w:r>
        <w:t>Update alongside each PQR version release and DataFlow fee revision; licensing rules change more frequently here than in most markets</w:t>
      </w:r>
    </w:p>
    <w:p>
      <w:r>
        <w:rPr>
          <w:b/>
        </w:rPr>
        <w:t xml:space="preserve">Regional Note: </w:t>
      </w:r>
      <w:r>
        <w:t>Strong candidate for a second version targeting Indian, Pakistani and Egyptian pathologist audiences, who form a large share of UAE applicants</w:t>
      </w:r>
    </w:p>
    <w:p>
      <w:r>
        <w:rPr>
          <w:b/>
        </w:rPr>
        <w:t xml:space="preserve">A/B Test Headlines: </w:t>
      </w:r>
      <w:r>
        <w:t>'Pathology in the UAE: Your Complete Career Guide' vs. 'A Consultant Pathologist Package in Dubai Is AED 1.08 Million — And You Keep All of It'</w:t>
      </w:r>
    </w:p>
    <w:p/>
    <w:p>
      <w:r>
        <w:rPr>
          <w:i/>
        </w:rPr>
        <w:t xml:space="preserve">Document Generated: </w:t>
      </w:r>
      <w:r>
        <w:t>July 31, 2026</w:t>
      </w:r>
    </w:p>
    <w:p>
      <w:r>
        <w:rPr>
          <w:i/>
        </w:rPr>
        <w:t xml:space="preserve">SEO Status: </w:t>
      </w:r>
      <w:r>
        <w:t>Ready for publication — verify current PQR version, DataFlow fees and authority-specific exam rules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