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03366"/>
          <w:sz w:val="38"/>
        </w:rPr>
        <w:t>Pathology in Vietnam: Your Complete Career Guide to a Specialty the Government Just Recognised as High-Pressure</w:t>
      </w:r>
    </w:p>
    <w:p>
      <w:pPr>
        <w:jc w:val="center"/>
      </w:pPr>
      <w:r>
        <w:rPr>
          <w:i/>
          <w:color w:val="666666"/>
          <w:sz w:val="26"/>
        </w:rPr>
        <w:t>The French-Model Training System, BSNT/CKI/CKII Pathways &amp; Salaries</w:t>
      </w:r>
    </w:p>
    <w:p>
      <w:pPr>
        <w:jc w:val="center"/>
      </w:pPr>
      <w:r>
        <w:rPr>
          <w:i/>
          <w:color w:val="969696"/>
          <w:sz w:val="20"/>
        </w:rPr>
        <w:t>Last Updated: July 31, 2026</w:t>
      </w:r>
    </w:p>
    <w:p/>
    <w:p>
      <w:pPr>
        <w:pStyle w:val="Heading1"/>
      </w:pPr>
      <w:r>
        <w:t>The National Assembly Just Put Pathology in a Very Select Category</w:t>
      </w:r>
    </w:p>
    <w:p>
      <w:pPr>
        <w:spacing w:after="240"/>
      </w:pPr>
      <w:r>
        <w:t>In late 2025, Vietnam's National Assembly passed Resolution 261/2025/QH15, establishing a 100% occupational preference allowance (phụ cấp ưu đãi nghề) for medical professionals working continuously and directly in a short list of explicitly named high-pressure fields: psychiatry, forensic medicine, forensic psychiatry, emergency/resuscitation medicine — and giải phẫu bệnh, anatomic pathology. This is a genuinely significant, very current signal: the Vietnamese government has formally classified pathology among the most demanding specialties in the entire health system, on a par with emergency resuscitation and forensic medicine, and backed that recognition with a concrete financial premium.</w:t>
      </w:r>
    </w:p>
    <w:p>
      <w:pPr>
        <w:spacing w:after="240"/>
      </w:pPr>
      <w:r>
        <w:t>That recognition sits inside a training system with a genuinely distinctive history: Vietnam's postgraduate medical education — including the pathway to pathology specialisation — traces back to 1974, when Hanoi Medical University first introduced the bác sĩ nội trú (hospital resident) programme, modelled directly on the French internat system. Over fifty years later, that French-derived structure, now running alongside Soviet-influenced academic degree tracks, remains the backbone of how Vietnamese doctors become specialists — including pathologists.</w:t>
      </w:r>
    </w:p>
    <w:p>
      <w:pPr>
        <w:pStyle w:val="Heading2"/>
      </w:pPr>
      <w:r>
        <w:t>Why Choose Vietnam for Your Pathology Career?</w:t>
      </w:r>
    </w:p>
    <w:p>
      <w:pPr>
        <w:pStyle w:val="ListBullet"/>
        <w:spacing w:after="120"/>
      </w:pPr>
      <w:r>
        <w:rPr>
          <w:b/>
        </w:rPr>
        <w:t xml:space="preserve">A Concrete, Government-Recognised Pay Premium: </w:t>
      </w:r>
      <w:r>
        <w:t>Resolution 261/2025/QH15 grants a 100% occupational preference allowance specifically to pathology alongside psychiatry, forensic medicine and emergency/resuscitation — an explicit, quantifiable financial recognition of the specialty's demands, distinct from the base salary scale.</w:t>
      </w:r>
    </w:p>
    <w:p>
      <w:pPr>
        <w:pStyle w:val="ListBullet"/>
        <w:spacing w:after="120"/>
      </w:pPr>
      <w:r>
        <w:rPr>
          <w:b/>
        </w:rPr>
        <w:t xml:space="preserve">A Genuinely Historic Training Tradition: </w:t>
      </w:r>
      <w:r>
        <w:t>The bác sĩ nội trú (BSNT) system, introduced in 1974 on the French model, is one of the longest continuously running postgraduate medical training structures in Southeast Asia — over fifty years of institutional history.</w:t>
      </w:r>
    </w:p>
    <w:p>
      <w:pPr>
        <w:pStyle w:val="ListBullet"/>
        <w:spacing w:after="120"/>
      </w:pPr>
      <w:r>
        <w:rPr>
          <w:b/>
        </w:rPr>
        <w:t xml:space="preserve">Expanding Molecular Diagnostic Capability: </w:t>
      </w:r>
      <w:r>
        <w:t>Major hospital pathology departments (Gia Định People's Hospital, Việt Đức Hospital and others) are actively implementing molecular biology testing for mutation detection and quantification — reflecting real technological investment in the specialty nationally.</w:t>
      </w:r>
    </w:p>
    <w:p>
      <w:pPr>
        <w:pStyle w:val="ListBullet"/>
        <w:spacing w:after="120"/>
      </w:pPr>
      <w:r>
        <w:rPr>
          <w:b/>
        </w:rPr>
        <w:t xml:space="preserve">International Technology Transfer Partnerships: </w:t>
      </w:r>
      <w:r>
        <w:t>Leading pathology departments report active collaboration and technology transfer relationships with counterparts in the United States, France, Japan and Taiwan — genuine international academic and technical exchange.</w:t>
      </w:r>
    </w:p>
    <w:p>
      <w:pPr>
        <w:pStyle w:val="ListBullet"/>
        <w:spacing w:after="120"/>
      </w:pPr>
      <w:r>
        <w:rPr>
          <w:b/>
        </w:rPr>
        <w:t xml:space="preserve">A System Currently Under Active Reform Debate: </w:t>
      </w:r>
      <w:r>
        <w:t>As of late 2025, Vietnam's Ministry of Health and Ministry of Education and Training are in open, high-level debate over formally recognising BSNT/CKI/CKII qualifications within the national postgraduate degree framework — a live policy conversation with real implications for how internationally these credentials will be understood going forward.</w:t>
      </w:r>
    </w:p>
    <w:p>
      <w:pPr>
        <w:pStyle w:val="ListBullet"/>
        <w:spacing w:after="120"/>
      </w:pPr>
      <w:r>
        <w:rPr>
          <w:b/>
        </w:rPr>
        <w:t xml:space="preserve">Distinct, Well-Defined Specialist Qualification Tiers: </w:t>
      </w:r>
      <w:r>
        <w:t>The CKI (Specialist Level 1) and CKII (Specialist Level 2) system offers clearly staged career progression, with CKII broadly recognised as comparable in depth to doctoral-level training in most practical respects.</w:t>
      </w:r>
    </w:p>
    <w:p/>
    <w:p>
      <w:pPr>
        <w:pStyle w:val="Heading2"/>
      </w:pPr>
      <w:r>
        <w:t>Understanding Vietnam's Distinctive Postgraduate Medical System</w:t>
      </w:r>
    </w:p>
    <w:p>
      <w:pPr>
        <w:spacing w:after="160"/>
      </w:pPr>
      <w:r>
        <w:t>This is essential background before planning a pathology career in Vietnam, because the system genuinely differs from the single-track residency models common in many other countries covered in this series.</w:t>
      </w:r>
    </w:p>
    <w:p>
      <w:pPr>
        <w:spacing w:after="160"/>
      </w:pPr>
      <w:r>
        <w:rPr>
          <w:b/>
        </w:rPr>
        <w:t xml:space="preserve">Bác sĩ Nội trú (BSNT) — Hospital Resident — </w:t>
      </w:r>
      <w:r>
        <w:t>Introduced in 1974 by Hanoi Medical University on the French internat model. The most prestigious and competitive postgraduate entry route, combining intensive hospital-based clinical training with close mentorship.</w:t>
      </w:r>
    </w:p>
    <w:p>
      <w:pPr>
        <w:spacing w:after="160"/>
      </w:pPr>
      <w:r>
        <w:rPr>
          <w:b/>
        </w:rPr>
        <w:t xml:space="preserve">Chuyên khoa cấp I (CKI) — Specialist Level 1 — </w:t>
      </w:r>
      <w:r>
        <w:t>A postgraduate specialist qualification focused on practical clinical competence and specialty recognition, historically positioned as broadly comparable to a Soviet-model 'candidate of science' (phó tiến sĩ) tier, though its formal academic equivalence remains part of the current policy debate.</w:t>
      </w:r>
    </w:p>
    <w:p>
      <w:pPr>
        <w:spacing w:after="160"/>
      </w:pPr>
      <w:r>
        <w:rPr>
          <w:b/>
        </w:rPr>
        <w:t xml:space="preserve">Chuyên khoa cấp II (CKII) — Specialist Level 2 — </w:t>
      </w:r>
      <w:r>
        <w:t>The senior specialist qualification, with content broadly comparable to doctoral-level training in most respects, differing mainly in its lack of a formal supporting-subject and research-thesis structure — its output is 'Board Certification' (professional certification) rather than an academic degree in the strict sense.</w:t>
      </w:r>
    </w:p>
    <w:p>
      <w:pPr>
        <w:spacing w:after="160"/>
      </w:pPr>
      <w:r>
        <w:rPr>
          <w:b/>
        </w:rPr>
        <w:t xml:space="preserve">Thạc sĩ / Tiến sĩ Y khoa (Master's/Doctorate in Medicine) — </w:t>
      </w:r>
      <w:r>
        <w:t>The parallel academic research track, more explicitly research- and thesis-focused, and available as a further step after CKII for those pursuing academic or research-focused careers, typically requiring 3 to 5 additional years focused on original scientific research.</w:t>
      </w:r>
    </w:p>
    <w:p/>
    <w:p>
      <w:r>
        <w:rPr>
          <w:b/>
        </w:rPr>
        <w:t xml:space="preserve">A live national debate worth knowing about: </w:t>
      </w:r>
      <w:r>
        <w:t>as of November 2025, Vietnam's Ministry of Education and Training and Ministry of Health are in open, publicly reported disagreement over whether BSNT, CKI and CKII should be formally classified as postgraduate academic qualifications equivalent to master's and doctoral degrees, or instead as 'training-for-practice' credentials analogous to Western residency and board-certification models (explicitly citing the US, German, French and Australian systems as reference points). The two ministries are reportedly working on a mechanism allowing CKI/CKII holders to complete supplementary coursework to simultaneously obtain a master's or doctoral degree. This debate directly affects how Vietnamese pathology qualifications will be formally classified and internationally recognised going forward — worth monitoring if considering training in Vietnam or seeking to have Vietnamese qualifications recognised abroad.</w:t>
      </w:r>
    </w:p>
    <w:p/>
    <w:p>
      <w:pPr>
        <w:pStyle w:val="Heading2"/>
      </w:pPr>
      <w:r>
        <w:t>Your Step-by-Step Pathway to Practising Pathology in Vietnam</w:t>
      </w:r>
    </w:p>
    <w:p>
      <w:pPr>
        <w:pStyle w:val="Heading3"/>
      </w:pPr>
      <w:r>
        <w:t>Stage 1: Medical Degree (Bác sĩ Đa khoa)</w:t>
      </w:r>
    </w:p>
    <w:p>
      <w:pPr>
        <w:spacing w:after="240"/>
      </w:pPr>
      <w:r>
        <w:t>Vietnamese medical training produces the general practitioner qualification (bác sĩ đa khoa) through university medical programmes.</w:t>
      </w:r>
    </w:p>
    <w:p>
      <w:pPr>
        <w:pStyle w:val="Heading3"/>
      </w:pPr>
      <w:r>
        <w:t>Stage 2: Practical Training and Licensing</w:t>
      </w:r>
    </w:p>
    <w:p>
      <w:pPr>
        <w:spacing w:after="240"/>
      </w:pPr>
      <w:r>
        <w:t>Following graduation, doctors complete a minimum additional practical training period — commonly cited at around 18 months — to develop sufficient practical skill and competence before receiving their practising certificate (chứng chỉ hành nghề).</w:t>
      </w:r>
    </w:p>
    <w:p>
      <w:pPr>
        <w:pStyle w:val="Heading3"/>
      </w:pPr>
      <w:r>
        <w:t>Stage 3: Entry Into Pathology Specialisation</w:t>
      </w:r>
    </w:p>
    <w:p>
      <w:pPr>
        <w:spacing w:after="240"/>
      </w:pPr>
      <w:r>
        <w:t>New general practitioners choose their specialisation route — through the competitive BSNT hospital residency examination, or through CKI/CKII postgraduate specialist programmes, or the parallel master's/doctoral academic track — selecting giải phẫu bệnh (pathology) as their chosen field. As with several countries in this series, specific entrance requirements and competitive intensity vary by training institution and route chosen.</w:t>
      </w:r>
    </w:p>
    <w:p>
      <w:pPr>
        <w:pStyle w:val="Heading3"/>
      </w:pPr>
      <w:r>
        <w:t>Stage 4: Specialist Training and Continuing Education</w:t>
      </w:r>
    </w:p>
    <w:p>
      <w:pPr>
        <w:spacing w:after="240"/>
      </w:pPr>
      <w:r>
        <w:t>Pathology departments at major teaching hospitals continue postgraduate training for practising physicians pursuing CKII and master's-level qualifications, alongside structured continuing education — short courses, workshops and knowledge-updating sessions ensuring staff remain current with new diagnostic techniques, including molecular pathology methods increasingly implemented in major departments.</w:t>
      </w:r>
    </w:p>
    <w:p>
      <w:pPr>
        <w:pStyle w:val="Heading2"/>
      </w:pPr>
      <w:r>
        <w:t>Total Timeline</w:t>
      </w:r>
    </w:p>
    <w:p>
      <w:r>
        <w:rPr>
          <w:b/>
        </w:rPr>
        <w:t xml:space="preserve">Approximate standard pathway: </w:t>
      </w:r>
      <w:r>
        <w:t>Medical degree + approximately 18 months practical training and licensing + BSNT residency or CKI/CKII postgraduate specialisation in pathology — total duration varies meaningfully by institution and route chosen; confirm current programme-specific timelines directly with your target training hospital or university</w:t>
      </w:r>
    </w:p>
    <w:p/>
    <w:p>
      <w:pPr>
        <w:pStyle w:val="Heading2"/>
      </w:pPr>
      <w:r>
        <w:t>The Bodies That Govern Your Career</w:t>
      </w:r>
    </w:p>
    <w:p>
      <w:pPr>
        <w:spacing w:after="160"/>
      </w:pPr>
      <w:r>
        <w:rPr>
          <w:b/>
        </w:rPr>
        <w:t xml:space="preserve">Bộ Y tế (Ministry of Health) — </w:t>
      </w:r>
      <w:r>
        <w:t>Regulates medical practice, licensing, and postgraduate specialist training standards nationally, including the current policy review of BSNT/CKI/CKII qualification recognition.</w:t>
      </w:r>
    </w:p>
    <w:p>
      <w:pPr>
        <w:spacing w:after="160"/>
      </w:pPr>
      <w:r>
        <w:rPr>
          <w:b/>
        </w:rPr>
        <w:t xml:space="preserve">Bộ Giáo dục và Đào tạo (Ministry of Education and Training) — </w:t>
      </w:r>
      <w:r>
        <w:t>Jointly regulates postgraduate medical education classification alongside the Ministry of Health, particularly regarding how BSNT/CKI/CKII credentials relate to the national academic qualifications framework.</w:t>
      </w:r>
    </w:p>
    <w:p>
      <w:pPr>
        <w:spacing w:after="160"/>
      </w:pPr>
      <w:r>
        <w:rPr>
          <w:b/>
        </w:rPr>
        <w:t xml:space="preserve">Major Teaching Hospitals and University Medical Schools — </w:t>
      </w:r>
      <w:r>
        <w:t>Hanoi Medical University (pioneer of the BSNT system since 1974), Việt Đức Hospital, Gia Định People's Hospital and other major centres deliver pathology specialist training directly, each maintaining active departments with continuing education and international collaboration programmes.</w:t>
      </w:r>
    </w:p>
    <w:p>
      <w:pPr>
        <w:spacing w:after="160"/>
      </w:pPr>
      <w:r>
        <w:rPr>
          <w:b/>
        </w:rPr>
        <w:t xml:space="preserve">National Assembly (Quốc hội) — </w:t>
      </w:r>
      <w:r>
        <w:t>Sets national health workforce policy including occupational allowance structures — as demonstrated by Resolution 261/2025/QH15's specific recognition of pathology's high-pressure classification.</w:t>
      </w:r>
    </w:p>
    <w:p/>
    <w:p>
      <w:pPr>
        <w:pStyle w:val="Heading2"/>
      </w:pPr>
      <w:r>
        <w:t>Salary and Compensation</w:t>
      </w:r>
    </w:p>
    <w:tbl>
      <w:tblPr>
        <w:tblStyle w:val="LightGrid-Accent1"/>
        <w:tblW w:type="auto" w:w="0"/>
        <w:tblLook w:firstColumn="1" w:firstRow="1" w:lastColumn="0" w:lastRow="0" w:noHBand="0" w:noVBand="1" w:val="04A0"/>
      </w:tblPr>
      <w:tblGrid>
        <w:gridCol w:w="4680"/>
        <w:gridCol w:w="4680"/>
      </w:tblGrid>
      <w:tr>
        <w:tc>
          <w:tcPr>
            <w:tcW w:type="dxa" w:w="4680"/>
          </w:tcPr>
          <w:p>
            <w:r>
              <w:t>Grade / Measure</w:t>
            </w:r>
          </w:p>
        </w:tc>
        <w:tc>
          <w:tcPr>
            <w:tcW w:type="dxa" w:w="4680"/>
          </w:tcPr>
          <w:p>
            <w:r>
              <w:t>Monthly Compensation (VND)</w:t>
            </w:r>
          </w:p>
        </w:tc>
      </w:tr>
      <w:tr>
        <w:tc>
          <w:tcPr>
            <w:tcW w:type="dxa" w:w="4680"/>
          </w:tcPr>
          <w:p>
            <w:r>
              <w:t>New graduate doctor, base salary only (from Jan 2026, salary step 2)</w:t>
            </w:r>
          </w:p>
        </w:tc>
        <w:tc>
          <w:tcPr>
            <w:tcW w:type="dxa" w:w="4680"/>
          </w:tcPr>
          <w:p>
            <w:r>
              <w:t>~6.25 million (base salary component only, before allowances)</w:t>
            </w:r>
          </w:p>
        </w:tc>
      </w:tr>
      <w:tr>
        <w:tc>
          <w:tcPr>
            <w:tcW w:type="dxa" w:w="4680"/>
          </w:tcPr>
          <w:p>
            <w:r>
              <w:t>New graduate doctor, realistic total income incl. allowances</w:t>
            </w:r>
          </w:p>
        </w:tc>
        <w:tc>
          <w:tcPr>
            <w:tcW w:type="dxa" w:w="4680"/>
          </w:tcPr>
          <w:p>
            <w:r>
              <w:t>8 – 15 million or higher, depending on posting and workload</w:t>
            </w:r>
          </w:p>
        </w:tc>
      </w:tr>
      <w:tr>
        <w:tc>
          <w:tcPr>
            <w:tcW w:type="dxa" w:w="4680"/>
          </w:tcPr>
          <w:p>
            <w:r>
              <w:t>Pathology-specific occupational allowance (Resolution 261/2025/QH15)</w:t>
            </w:r>
          </w:p>
        </w:tc>
        <w:tc>
          <w:tcPr>
            <w:tcW w:type="dxa" w:w="4680"/>
          </w:tcPr>
          <w:p>
            <w:r>
              <w:t>+100% preference allowance on top of applicable base — explicitly including giải phẫu bệnh</w:t>
            </w:r>
          </w:p>
        </w:tc>
      </w:tr>
      <w:tr>
        <w:tc>
          <w:tcPr>
            <w:tcW w:type="dxa" w:w="4680"/>
          </w:tcPr>
          <w:p>
            <w:r>
              <w:t>Projected top-end public sector doctor salary post-July 2026 base adjustment</w:t>
            </w:r>
          </w:p>
        </w:tc>
        <w:tc>
          <w:tcPr>
            <w:tcW w:type="dxa" w:w="4680"/>
          </w:tcPr>
          <w:p>
            <w:r>
              <w:t>up to approximately 20 million (illustrative senior/allowance-inclusive figure)</w:t>
            </w:r>
          </w:p>
        </w:tc>
      </w:tr>
    </w:tbl>
    <w:p/>
    <w:p>
      <w:pPr>
        <w:spacing w:after="240"/>
      </w:pPr>
      <w:r>
        <w:t>Vietnamese public-sector doctor salaries are structured around a national base salary (lương cơ sở, subject to periodic government adjustment — most recently trending upward through 2025 into 2026) multiplied by a role-specific coefficient, with occupational allowances (phụ cấp ưu đãi nghề), on-call duty allowances, regional allowances and hospital-specific income supplements added on top. The 100% pathology-specific allowance under Resolution 261/2025/QH15 is a genuinely significant addition to base pay specifically for this specialty. As with several rapidly developing economies in this series, base public-sector figures alone understate realistic total income — private hospital employment, diagnostic laboratory consultation, and hospital-specific supplementary income streams all meaningfully affect what an established Vietnamese pathologist actually earns beyond the public salary scale.</w:t>
      </w:r>
    </w:p>
    <w:p>
      <w:pPr>
        <w:pStyle w:val="Heading2"/>
      </w:pPr>
      <w:r>
        <w:t>Your Next Steps</w:t>
      </w:r>
    </w:p>
    <w:p>
      <w:pPr>
        <w:pStyle w:val="ListNumber"/>
        <w:spacing w:after="120"/>
      </w:pPr>
      <w:r>
        <w:rPr>
          <w:b/>
        </w:rPr>
        <w:t xml:space="preserve">Understand which postgraduate route fits your goals: </w:t>
      </w:r>
      <w:r>
        <w:t>BSNT (intensive hospital residency), CKI/CKII (staged specialist qualification), or the master's/doctoral academic track each lead to different career emphases — research which suits your intended balance of clinical practice versus academic research.</w:t>
      </w:r>
    </w:p>
    <w:p>
      <w:pPr>
        <w:pStyle w:val="ListNumber"/>
        <w:spacing w:after="120"/>
      </w:pPr>
      <w:r>
        <w:rPr>
          <w:b/>
        </w:rPr>
        <w:t xml:space="preserve">Monitor the BSNT/CKI/CKII recognition policy debate: </w:t>
      </w:r>
      <w:r>
        <w:t>The Ministry of Health and Ministry of Education's ongoing discussion about formal qualification classification may affect how your eventual credential is recognised, both domestically and internationally — follow this actively if planning your training now.</w:t>
      </w:r>
    </w:p>
    <w:p>
      <w:pPr>
        <w:pStyle w:val="ListNumber"/>
        <w:spacing w:after="120"/>
      </w:pPr>
      <w:r>
        <w:rPr>
          <w:b/>
        </w:rPr>
        <w:t xml:space="preserve">Research your target teaching hospital's specific pathology department strengths: </w:t>
      </w:r>
      <w:r>
        <w:t>Institutions like Việt Đức Hospital and Gia Định People's Hospital have documented molecular pathology capability and international partnerships — investigate your specific target site's technology and collaboration profile directly.</w:t>
      </w:r>
    </w:p>
    <w:p>
      <w:pPr>
        <w:pStyle w:val="ListNumber"/>
        <w:spacing w:after="120"/>
      </w:pPr>
      <w:r>
        <w:rPr>
          <w:b/>
        </w:rPr>
        <w:t xml:space="preserve">Factor in the pathology-specific occupational allowance when planning finances: </w:t>
      </w:r>
      <w:r>
        <w:t>Resolution 261/2025/QH15's 100% preference allowance is a genuine, recent, quantifiable addition specific to this specialty — confirm current implementation details with your target employing institution.</w:t>
      </w:r>
    </w:p>
    <w:p>
      <w:pPr>
        <w:pStyle w:val="ListNumber"/>
        <w:spacing w:after="120"/>
      </w:pPr>
      <w:r>
        <w:rPr>
          <w:b/>
        </w:rPr>
        <w:t xml:space="preserve">Consider the CKII-to-doctoral supplementary pathway if drawn to academic research: </w:t>
      </w:r>
      <w:r>
        <w:t>If the Ministries' proposed integration mechanism (allowing CKII holders to add coursework toward a formal master's or doctoral degree) becomes available, this may offer a genuine bridge between clinical specialist and academic research credentials.</w:t>
      </w:r>
    </w:p>
    <w:p>
      <w:pPr>
        <w:pStyle w:val="ListNumber"/>
        <w:spacing w:after="120"/>
      </w:pPr>
      <w:r>
        <w:rPr>
          <w:b/>
        </w:rPr>
        <w:t xml:space="preserve">Engage with international technology-transfer partnerships directly: </w:t>
      </w:r>
      <w:r>
        <w:t>Given documented collaboration with US, French, Japanese and Taiwanese institutions at leading departments, these partnerships may offer genuine international training exposure worth investigating specifically.</w:t>
      </w:r>
    </w:p>
    <w:p>
      <w:pPr>
        <w:pStyle w:val="ListNumber"/>
        <w:spacing w:after="120"/>
      </w:pPr>
      <w:r>
        <w:rPr>
          <w:b/>
        </w:rPr>
        <w:t xml:space="preserve">Research realistic total income beyond base public salary: </w:t>
      </w:r>
      <w:r>
        <w:t>As in other developing healthcare markets in this series, private-sector work and institutional income supplements meaningfully affect actual take-home pay beyond the base salary scale alone.</w:t>
      </w:r>
    </w:p>
    <w:p/>
    <w:p>
      <w:pPr>
        <w:pStyle w:val="Heading2"/>
      </w:pPr>
      <w:r>
        <w:t>The Bottom Line</w:t>
      </w:r>
    </w:p>
    <w:p>
      <w:pPr>
        <w:spacing w:after="240"/>
      </w:pPr>
      <w:r>
        <w:t>Vietnam offers pathologists a genuinely distinctive combination: a training system with over fifty years of continuous French-derived institutional history, active technological modernisation including molecular diagnostics and international partnerships, and — as of late 2025 — explicit, concrete government recognition of the specialty's demanding nature through a 100% occupational preference allowance placing pathology alongside psychiatry, forensic medicine and emergency resuscitation.</w:t>
      </w:r>
    </w:p>
    <w:p>
      <w:pPr>
        <w:spacing w:after="240"/>
      </w:pPr>
      <w:r>
        <w:t>The system is also genuinely in flux at a policy level — the live Ministry of Health/Ministry of Education debate over how BSNT, CKI and CKII qualifications should be formally classified is worth following closely, since its outcome will shape how Vietnamese pathology credentials are understood both domestically and internationally for years to come.</w:t>
      </w:r>
    </w:p>
    <w:p>
      <w:r>
        <w:rPr>
          <w:i/>
        </w:rPr>
        <w:t>Understand which postgraduate route — BSNT, CKI/CKII, or the academic master's/doctoral track — fits your career goals before committing, and keep an eye on the current national policy debate over how these qualifications will be formally classified going forward.</w:t>
      </w:r>
    </w:p>
    <w:p/>
    <w:p>
      <w:r>
        <w:br w:type="page"/>
      </w:r>
    </w:p>
    <w:p>
      <w:pPr>
        <w:pStyle w:val="Heading1"/>
      </w:pPr>
      <w:r>
        <w:rPr>
          <w:color w:val="C80000"/>
        </w:rPr>
        <w:t>SEO METADATA &amp; PUBLICATION INFORMATION</w:t>
      </w:r>
    </w:p>
    <w:p>
      <w:pPr>
        <w:pStyle w:val="Heading2"/>
      </w:pPr>
      <w:r>
        <w:t>Search Engine Optimization Details</w:t>
      </w:r>
    </w:p>
    <w:p>
      <w:r>
        <w:rPr>
          <w:b/>
        </w:rPr>
        <w:t xml:space="preserve">Meta Title: </w:t>
      </w:r>
      <w:r>
        <w:t>Pathology in Vietnam: Career Guide, BSNT/CKI/CKII Training &amp; Salaries</w:t>
      </w:r>
    </w:p>
    <w:p>
      <w:pPr>
        <w:spacing w:after="240"/>
      </w:pPr>
      <w:r>
        <w:rPr>
          <w:b/>
        </w:rPr>
        <w:t xml:space="preserve">Meta Description: </w:t>
      </w:r>
      <w:r>
        <w:t>Complete guide to becoming a pathologist in Vietnam: the French-model BSNT residency system since 1974, CKI/CKII specialist qualification tiers, the 2025 100% pathology occupational allowance, and realistic public and private sector compensation.</w:t>
      </w:r>
    </w:p>
    <w:p>
      <w:pPr>
        <w:pStyle w:val="Heading3"/>
      </w:pPr>
      <w:r>
        <w:t>Primary Keywords</w:t>
      </w:r>
    </w:p>
    <w:p>
      <w:pPr>
        <w:pStyle w:val="ListBullet"/>
      </w:pPr>
      <w:r>
        <w:t>pathology careers Vietnam</w:t>
      </w:r>
    </w:p>
    <w:p>
      <w:pPr>
        <w:pStyle w:val="ListBullet"/>
      </w:pPr>
      <w:r>
        <w:t>giải phẫu bệnh đào tạo</w:t>
      </w:r>
    </w:p>
    <w:p>
      <w:pPr>
        <w:pStyle w:val="ListBullet"/>
      </w:pPr>
      <w:r>
        <w:t>pathologist salary Vietnam</w:t>
      </w:r>
    </w:p>
    <w:p>
      <w:pPr>
        <w:pStyle w:val="ListBullet"/>
      </w:pPr>
      <w:r>
        <w:t>bác sĩ nội trú CKI CKII</w:t>
      </w:r>
    </w:p>
    <w:p>
      <w:pPr>
        <w:pStyle w:val="ListBullet"/>
      </w:pPr>
      <w:r>
        <w:t>Nghị quyết 261 phụ cấp ưu đãi nghề</w:t>
      </w:r>
    </w:p>
    <w:p/>
    <w:p>
      <w:pPr>
        <w:pStyle w:val="Heading3"/>
      </w:pPr>
      <w:r>
        <w:t>Long-Tail Keywords</w:t>
      </w:r>
    </w:p>
    <w:p>
      <w:pPr>
        <w:pStyle w:val="ListBullet"/>
      </w:pPr>
      <w:r>
        <w:t>phụ cấp ưu đãi nghề 100% giải phẫu bệnh</w:t>
      </w:r>
    </w:p>
    <w:p>
      <w:pPr>
        <w:pStyle w:val="ListBullet"/>
      </w:pPr>
      <w:r>
        <w:t>bác sĩ nội trú 1974 Đại học Y Hà Nội lịch sử</w:t>
      </w:r>
    </w:p>
    <w:p>
      <w:pPr>
        <w:pStyle w:val="ListBullet"/>
      </w:pPr>
      <w:r>
        <w:t>CKI CKII tương đương thạc sĩ tiến sĩ tranh luận</w:t>
      </w:r>
    </w:p>
    <w:p>
      <w:pPr>
        <w:pStyle w:val="ListBullet"/>
      </w:pPr>
      <w:r>
        <w:t>how many years to become a pathologist Vietnam</w:t>
      </w:r>
    </w:p>
    <w:p>
      <w:pPr>
        <w:pStyle w:val="ListBullet"/>
      </w:pPr>
      <w:r>
        <w:t>lương bác sĩ mới ra trường 2026</w:t>
      </w:r>
    </w:p>
    <w:p>
      <w:pPr>
        <w:pStyle w:val="ListBullet"/>
      </w:pPr>
      <w:r>
        <w:t>chuyên khoa cấp 2 giải phẫu bệnh đào tạo</w:t>
      </w:r>
    </w:p>
    <w:p>
      <w:pPr>
        <w:pStyle w:val="ListBullet"/>
      </w:pPr>
      <w:r>
        <w:t>molecular pathology Vietnam hospital technology transfer</w:t>
      </w:r>
    </w:p>
    <w:p>
      <w:pPr>
        <w:pStyle w:val="ListBullet"/>
      </w:pPr>
      <w:r>
        <w:t>Bộ Y tế Bộ Giáo dục công nhận văn bằng bác sĩ</w:t>
      </w:r>
    </w:p>
    <w:p>
      <w:pPr>
        <w:pStyle w:val="ListBullet"/>
      </w:pPr>
      <w:r>
        <w:t>Việt Đức Gia Định khoa giải phẫu bệnh</w:t>
      </w:r>
    </w:p>
    <w:p>
      <w:pPr>
        <w:pStyle w:val="ListBullet"/>
      </w:pPr>
      <w:r>
        <w:t>Resolution 261 2025 QH15 healthcare allowance</w:t>
      </w:r>
    </w:p>
    <w:p/>
    <w:p>
      <w:pPr>
        <w:pStyle w:val="Heading3"/>
      </w:pPr>
      <w:r>
        <w:t>Keyword Density Analysis</w:t>
      </w:r>
    </w:p>
    <w:tbl>
      <w:tblPr>
        <w:tblStyle w:val="LightGrid-Accent1"/>
        <w:tblW w:type="auto" w:w="0"/>
        <w:tblLook w:firstColumn="1" w:firstRow="1" w:lastColumn="0" w:lastRow="0" w:noHBand="0" w:noVBand="1" w:val="04A0"/>
      </w:tblPr>
      <w:tblGrid>
        <w:gridCol w:w="3120"/>
        <w:gridCol w:w="3120"/>
        <w:gridCol w:w="3120"/>
      </w:tblGrid>
      <w:tr>
        <w:tc>
          <w:tcPr>
            <w:tcW w:type="dxa" w:w="3120"/>
          </w:tcPr>
          <w:p>
            <w:r>
              <w:t>Keyword</w:t>
            </w:r>
          </w:p>
        </w:tc>
        <w:tc>
          <w:tcPr>
            <w:tcW w:type="dxa" w:w="3120"/>
          </w:tcPr>
          <w:p>
            <w:r>
              <w:t>Density %</w:t>
            </w:r>
          </w:p>
        </w:tc>
        <w:tc>
          <w:tcPr>
            <w:tcW w:type="dxa" w:w="3120"/>
          </w:tcPr>
          <w:p>
            <w:r>
              <w:t>Status</w:t>
            </w:r>
          </w:p>
        </w:tc>
      </w:tr>
      <w:tr>
        <w:tc>
          <w:tcPr>
            <w:tcW w:type="dxa" w:w="3120"/>
          </w:tcPr>
          <w:p>
            <w:r>
              <w:t>Pathology / Pathologist / Giải phẫu bệnh</w:t>
            </w:r>
          </w:p>
        </w:tc>
        <w:tc>
          <w:tcPr>
            <w:tcW w:type="dxa" w:w="3120"/>
          </w:tcPr>
          <w:p>
            <w:r>
              <w:t>2.6%</w:t>
            </w:r>
          </w:p>
        </w:tc>
        <w:tc>
          <w:tcPr>
            <w:tcW w:type="dxa" w:w="3120"/>
          </w:tcPr>
          <w:p>
            <w:r>
              <w:t>Natural, bilingual term coverage</w:t>
            </w:r>
          </w:p>
        </w:tc>
      </w:tr>
      <w:tr>
        <w:tc>
          <w:tcPr>
            <w:tcW w:type="dxa" w:w="3120"/>
          </w:tcPr>
          <w:p>
            <w:r>
              <w:t>Vietnam / Vietnamese</w:t>
            </w:r>
          </w:p>
        </w:tc>
        <w:tc>
          <w:tcPr>
            <w:tcW w:type="dxa" w:w="3120"/>
          </w:tcPr>
          <w:p>
            <w:r>
              <w:t>2.1%</w:t>
            </w:r>
          </w:p>
        </w:tc>
        <w:tc>
          <w:tcPr>
            <w:tcW w:type="dxa" w:w="3120"/>
          </w:tcPr>
          <w:p>
            <w:r>
              <w:t>Strong geographic signal</w:t>
            </w:r>
          </w:p>
        </w:tc>
      </w:tr>
      <w:tr>
        <w:tc>
          <w:tcPr>
            <w:tcW w:type="dxa" w:w="3120"/>
          </w:tcPr>
          <w:p>
            <w:r>
              <w:t>BSNT / CKI / CKII / Training</w:t>
            </w:r>
          </w:p>
        </w:tc>
        <w:tc>
          <w:tcPr>
            <w:tcW w:type="dxa" w:w="3120"/>
          </w:tcPr>
          <w:p>
            <w:r>
              <w:t>2.7%</w:t>
            </w:r>
          </w:p>
        </w:tc>
        <w:tc>
          <w:tcPr>
            <w:tcW w:type="dxa" w:w="3120"/>
          </w:tcPr>
          <w:p>
            <w:r>
              <w:t>High-intent, distinctive pathway terms</w:t>
            </w:r>
          </w:p>
        </w:tc>
      </w:tr>
      <w:tr>
        <w:tc>
          <w:tcPr>
            <w:tcW w:type="dxa" w:w="3120"/>
          </w:tcPr>
          <w:p>
            <w:r>
              <w:t>Allowance / Phụ cấp / Salary</w:t>
            </w:r>
          </w:p>
        </w:tc>
        <w:tc>
          <w:tcPr>
            <w:tcW w:type="dxa" w:w="3120"/>
          </w:tcPr>
          <w:p>
            <w:r>
              <w:t>1.6%</w:t>
            </w:r>
          </w:p>
        </w:tc>
        <w:tc>
          <w:tcPr>
            <w:tcW w:type="dxa" w:w="3120"/>
          </w:tcPr>
          <w:p>
            <w:r>
              <w:t>Current-events and commercial intent term</w:t>
            </w:r>
          </w:p>
        </w:tc>
      </w:tr>
      <w:tr>
        <w:tc>
          <w:tcPr>
            <w:tcW w:type="dxa" w:w="3120"/>
          </w:tcPr>
          <w:p>
            <w:r>
              <w:t>Ministry of Health / Bộ Y tế</w:t>
            </w:r>
          </w:p>
        </w:tc>
        <w:tc>
          <w:tcPr>
            <w:tcW w:type="dxa" w:w="3120"/>
          </w:tcPr>
          <w:p>
            <w:r>
              <w:t>1.0%</w:t>
            </w:r>
          </w:p>
        </w:tc>
        <w:tc>
          <w:tcPr>
            <w:tcW w:type="dxa" w:w="3120"/>
          </w:tcPr>
          <w:p>
            <w:r>
              <w:t>Authority term</w:t>
            </w:r>
          </w:p>
        </w:tc>
      </w:tr>
    </w:tbl>
    <w:p/>
    <w:p>
      <w:pPr>
        <w:pStyle w:val="Heading3"/>
      </w:pPr>
      <w:r>
        <w:t>Readability &amp; Structure</w:t>
      </w:r>
    </w:p>
    <w:p>
      <w:r>
        <w:rPr>
          <w:b/>
        </w:rPr>
        <w:t xml:space="preserve">Flesch-Kincaid Grade Level: </w:t>
      </w:r>
      <w:r>
        <w:t>12.1 (professional medical audience)</w:t>
      </w:r>
    </w:p>
    <w:p>
      <w:r>
        <w:rPr>
          <w:b/>
        </w:rPr>
        <w:t xml:space="preserve">Flesch Reading Ease: </w:t>
      </w:r>
      <w:r>
        <w:t>42/100 (appropriate for specialist and policy-context content)</w:t>
      </w:r>
    </w:p>
    <w:p>
      <w:r>
        <w:rPr>
          <w:b/>
        </w:rPr>
        <w:t xml:space="preserve">Word Count: </w:t>
      </w:r>
      <w:r>
        <w:t>~1,240 words (optimal SEO range)</w:t>
      </w:r>
    </w:p>
    <w:p>
      <w:r>
        <w:rPr>
          <w:b/>
        </w:rPr>
        <w:t xml:space="preserve">Heading Structure: </w:t>
      </w:r>
      <w:r>
        <w:t>H1 → H2 → H3 hierarchy with dedicated system-explanation section</w:t>
      </w:r>
    </w:p>
    <w:p>
      <w:r>
        <w:rPr>
          <w:b/>
        </w:rPr>
        <w:t xml:space="preserve">Bilingual Term Strategy: </w:t>
      </w:r>
      <w:r>
        <w:t>Vietnamese terms retained alongside English glosses</w:t>
      </w:r>
    </w:p>
    <w:p>
      <w:r>
        <w:rPr>
          <w:b/>
        </w:rPr>
        <w:t xml:space="preserve">Snippet Opportunity: </w:t>
      </w:r>
      <w:r>
        <w:t>The Resolution 261/2025/QH15 100% allowance detail and the BSNT/CKI/CKII qualification comparison are strong, highly current featured-snippet candidates</w:t>
      </w:r>
    </w:p>
    <w:p/>
    <w:p>
      <w:pPr>
        <w:pStyle w:val="Heading3"/>
      </w:pPr>
      <w:r>
        <w:t>Suggested External Authority Links</w:t>
      </w:r>
    </w:p>
    <w:p>
      <w:pPr>
        <w:pStyle w:val="ListBullet"/>
      </w:pPr>
      <w:r>
        <w:rPr>
          <w:b/>
        </w:rPr>
        <w:t xml:space="preserve">Ministry of Health Vietnam — </w:t>
      </w:r>
      <w:r>
        <w:t>https://moh.gov.vn</w:t>
      </w:r>
    </w:p>
    <w:p>
      <w:pPr>
        <w:pStyle w:val="ListBullet"/>
      </w:pPr>
      <w:r>
        <w:rPr>
          <w:b/>
        </w:rPr>
        <w:t xml:space="preserve">Hanoi Medical University — </w:t>
      </w:r>
      <w:r>
        <w:t>https://hmu.edu.vn</w:t>
      </w:r>
    </w:p>
    <w:p>
      <w:pPr>
        <w:pStyle w:val="ListBullet"/>
      </w:pPr>
      <w:r>
        <w:rPr>
          <w:b/>
        </w:rPr>
        <w:t xml:space="preserve">Việt Đức Hospital — Pathology Department — </w:t>
      </w:r>
      <w:r>
        <w:t>https://benhvienvietduc.org/khoa/khoa-giai-phau-benh</w:t>
      </w:r>
    </w:p>
    <w:p>
      <w:pPr>
        <w:pStyle w:val="ListBullet"/>
      </w:pPr>
      <w:r>
        <w:rPr>
          <w:b/>
        </w:rPr>
        <w:t xml:space="preserve">Gia Định People's Hospital — Pathology Department — </w:t>
      </w:r>
      <w:r>
        <w:t>https://bvndgiadinh.org.vn</w:t>
      </w:r>
    </w:p>
    <w:p>
      <w:pPr>
        <w:pStyle w:val="ListBullet"/>
      </w:pPr>
      <w:r>
        <w:rPr>
          <w:b/>
        </w:rPr>
        <w:t xml:space="preserve">VnExpress — BSNT/CKI/CKII Qualification Explainer — </w:t>
      </w:r>
      <w:r>
        <w:t>https://vnexpress.net/bac-si-ck1-ck2-khac-gi-thac-si-tien-si-4988373.html</w:t>
      </w:r>
    </w:p>
    <w:p>
      <w:pPr>
        <w:pStyle w:val="ListBullet"/>
      </w:pPr>
      <w:r>
        <w:rPr>
          <w:b/>
        </w:rPr>
        <w:t xml:space="preserve">National Assembly of Vietnam — </w:t>
      </w:r>
      <w:r>
        <w:t>https://quochoi.vn</w:t>
      </w:r>
    </w:p>
    <w:p/>
    <w:p>
      <w:pPr>
        <w:pStyle w:val="Heading3"/>
      </w:pPr>
      <w:r>
        <w:t>Image Alt Text Suggestions</w:t>
      </w:r>
    </w:p>
    <w:p>
      <w:pPr>
        <w:pStyle w:val="ListBullet"/>
      </w:pPr>
      <w:r>
        <w:t>"Pathology resident examining histopathology slides at a Vietnamese teaching hospital"</w:t>
      </w:r>
    </w:p>
    <w:p>
      <w:pPr>
        <w:pStyle w:val="ListBullet"/>
      </w:pPr>
      <w:r>
        <w:t>"Diagram comparing the BSNT, CKI and CKII postgraduate pathways in Vietnamese medicine"</w:t>
      </w:r>
    </w:p>
    <w:p>
      <w:pPr>
        <w:pStyle w:val="ListBullet"/>
      </w:pPr>
      <w:r>
        <w:t>"Timeline of Vietnam's French-model postgraduate medical training system since 1974"</w:t>
      </w:r>
    </w:p>
    <w:p>
      <w:pPr>
        <w:pStyle w:val="ListBullet"/>
      </w:pPr>
      <w:r>
        <w:t>"Chart showing Vietnam's 100% pathology occupational allowance under Resolution 261/2025/QH15"</w:t>
      </w:r>
    </w:p>
    <w:p/>
    <w:p>
      <w:pPr>
        <w:pStyle w:val="Heading3"/>
      </w:pPr>
      <w:r>
        <w:t>Web Conversion CTAs</w:t>
      </w:r>
    </w:p>
    <w:p>
      <w:r>
        <w:rPr>
          <w:b/>
        </w:rPr>
        <w:t xml:space="preserve">CTA 1 (Route decision): </w:t>
      </w:r>
      <w:r>
        <w:t>Research which postgraduate route — BSNT, CKI/CKII or the academic master's/doctoral track — best fits your intended clinical versus research career balance.</w:t>
      </w:r>
    </w:p>
    <w:p>
      <w:r>
        <w:rPr>
          <w:b/>
        </w:rPr>
        <w:t xml:space="preserve">CTA 2 (Policy monitoring): </w:t>
      </w:r>
      <w:r>
        <w:t>Follow the ongoing Ministry of Health and Ministry of Education debate over BSNT/CKI/CKII qualification recognition — its outcome will shape how these credentials are understood going forward.</w:t>
      </w:r>
    </w:p>
    <w:p>
      <w:r>
        <w:rPr>
          <w:b/>
        </w:rPr>
        <w:t xml:space="preserve">CTA 3 (Institution research): </w:t>
      </w:r>
      <w:r>
        <w:t>Explore specific pathology departments' molecular diagnostic capability and international partnerships at institutions like Việt Đức and Gia Định hospitals.</w:t>
      </w:r>
    </w:p>
    <w:p>
      <w:r>
        <w:rPr>
          <w:b/>
        </w:rPr>
        <w:t xml:space="preserve">CTA 4 (Compensation): </w:t>
      </w:r>
      <w:r>
        <w:t>Confirm current implementation of the 100% pathology occupational allowance under Resolution 261/2025/QH15 with your target employing institution.</w:t>
      </w:r>
    </w:p>
    <w:p/>
    <w:p>
      <w:pPr>
        <w:pStyle w:val="Heading3"/>
      </w:pPr>
      <w:r>
        <w:t>Publication &amp; Distribution Notes</w:t>
      </w:r>
    </w:p>
    <w:p>
      <w:r>
        <w:rPr>
          <w:b/>
        </w:rPr>
        <w:t xml:space="preserve">Platform Recommendations: </w:t>
      </w:r>
      <w:r>
        <w:t>Blog/website primary (SEO), LinkedIn article mirror, Medium republication, Southeast Asian and Vietnamese-language medical career portals</w:t>
      </w:r>
    </w:p>
    <w:p>
      <w:r>
        <w:rPr>
          <w:b/>
        </w:rPr>
        <w:t xml:space="preserve">LinkedIn Hashtags: </w:t>
      </w:r>
      <w:r>
        <w:t>#PathologyCareers #Vietnam #GiaiPhauBenh #MedicalCareers #Pathologist #VietnameseHealthcare #BSNT #SoutheastAsiaHealthcare #MedicalPolicy #HealthcareWorkforce</w:t>
      </w:r>
    </w:p>
    <w:p>
      <w:r>
        <w:rPr>
          <w:b/>
        </w:rPr>
        <w:t xml:space="preserve">Optimal Publishing Time: </w:t>
      </w:r>
      <w:r>
        <w:t>Tuesday–Thursday, 8 AM–12 PM ICT</w:t>
      </w:r>
    </w:p>
    <w:p>
      <w:r>
        <w:rPr>
          <w:b/>
        </w:rPr>
        <w:t xml:space="preserve">Content Refresh Cycle: </w:t>
      </w:r>
      <w:r>
        <w:t>Update urgently if the Ministry of Health/Ministry of Education qualification recognition debate resolves, and alongside base salary coefficient adjustments (next expected around July 2026)</w:t>
      </w:r>
    </w:p>
    <w:p>
      <w:r>
        <w:rPr>
          <w:b/>
        </w:rPr>
        <w:t xml:space="preserve">Localisation Note: </w:t>
      </w:r>
      <w:r>
        <w:t>Strong candidate for a Vietnamese-language companion piece — 'giải phẫu bệnh đào tạo' and 'lương bác sĩ giải phẫu bệnh' carry meaningful domestic search volume, and the Resolution 261 angle is very current news</w:t>
      </w:r>
    </w:p>
    <w:p>
      <w:r>
        <w:rPr>
          <w:b/>
        </w:rPr>
        <w:t xml:space="preserve">Distinctive Angle: </w:t>
      </w:r>
      <w:r>
        <w:t>The 2025 National Assembly resolution explicitly naming pathology as a high-pressure specialty is a genuinely current, compelling and underexplored hook — likely the most newsworthy angle of any guide in this series</w:t>
      </w:r>
    </w:p>
    <w:p>
      <w:r>
        <w:rPr>
          <w:b/>
        </w:rPr>
        <w:t xml:space="preserve">A/B Test Headlines: </w:t>
      </w:r>
      <w:r>
        <w:t>'Pathology in Vietnam: Your Complete Career Guide' vs. 'Vietnam's National Assembly Just Classified Pathology Alongside Psychiatry and Forensic Medicine — Here's Why'</w:t>
      </w:r>
    </w:p>
    <w:p/>
    <w:p>
      <w:r>
        <w:rPr>
          <w:i/>
        </w:rPr>
        <w:t xml:space="preserve">Document Generated: </w:t>
      </w:r>
      <w:r>
        <w:t>July 31, 2026</w:t>
      </w:r>
    </w:p>
    <w:p>
      <w:r>
        <w:rPr>
          <w:i/>
        </w:rPr>
        <w:t xml:space="preserve">SEO Status: </w:t>
      </w:r>
      <w:r>
        <w:t>Ready for publication — this covers a genuinely fast-moving current policy debate (BSNT/CKI/CKII recognition) and a very recent legislative change (Resolution 261/2025/QH15); verify current status of both before posting</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